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#85</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765BB9">
        <w:rPr>
          <w:rFonts w:ascii="Arial" w:hAnsi="Arial" w:cs="Arial" w:hint="eastAsia"/>
          <w:b/>
          <w:bCs/>
          <w:sz w:val="22"/>
          <w:lang w:val="en-GB"/>
        </w:rPr>
        <w:t>16</w:t>
      </w:r>
      <w:r w:rsidR="00B93518">
        <w:rPr>
          <w:rFonts w:ascii="Arial" w:hAnsi="Arial" w:cs="Arial"/>
          <w:b/>
          <w:bCs/>
          <w:sz w:val="22"/>
          <w:lang w:val="en-GB"/>
        </w:rPr>
        <w:t>4271</w:t>
      </w:r>
      <w:r w:rsidR="00A569A4" w:rsidRPr="00525CF4">
        <w:rPr>
          <w:rFonts w:ascii="Arial" w:hAnsi="Arial" w:cs="Arial" w:hint="eastAsia"/>
          <w:b/>
          <w:bCs/>
          <w:sz w:val="22"/>
          <w:lang w:val="en-GB"/>
        </w:rPr>
        <w:t xml:space="preserve"> </w:t>
      </w:r>
    </w:p>
    <w:p w:rsidR="00A569A4" w:rsidRPr="00525CF4" w:rsidRDefault="0099196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Nanjing</w:t>
      </w:r>
      <w:r w:rsidR="00B87244">
        <w:rPr>
          <w:rFonts w:ascii="Arial" w:hAnsi="Arial" w:cs="Arial"/>
          <w:b/>
          <w:bCs/>
          <w:sz w:val="22"/>
          <w:lang w:val="en-GB"/>
        </w:rPr>
        <w:t xml:space="preserve">, </w:t>
      </w:r>
      <w:r>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23rd</w:t>
      </w:r>
      <w:r w:rsidR="00A569A4" w:rsidRPr="00525CF4">
        <w:rPr>
          <w:rFonts w:ascii="Arial" w:hAnsi="Arial" w:cs="Arial"/>
          <w:b/>
          <w:bCs/>
          <w:sz w:val="22"/>
          <w:lang w:val="en-GB"/>
        </w:rPr>
        <w:t xml:space="preserve"> - </w:t>
      </w:r>
      <w:r>
        <w:rPr>
          <w:rFonts w:ascii="Arial" w:hAnsi="Arial" w:cs="Arial"/>
          <w:b/>
          <w:bCs/>
          <w:sz w:val="22"/>
          <w:lang w:val="en-GB"/>
        </w:rPr>
        <w:t>27</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May</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DA6EAD">
        <w:rPr>
          <w:rFonts w:ascii="Arial" w:hAnsi="Arial" w:cs="Arial"/>
          <w:b/>
          <w:bCs/>
          <w:sz w:val="22"/>
          <w:lang w:val="en-GB"/>
        </w:rPr>
        <w:t>, ZTE 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B93518">
        <w:rPr>
          <w:rFonts w:ascii="Arial" w:hAnsi="Arial" w:cs="Arial"/>
          <w:b/>
          <w:bCs/>
          <w:sz w:val="22"/>
          <w:lang w:val="en-GB"/>
        </w:rPr>
        <w:t>Overview of numerology candidates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91963">
        <w:rPr>
          <w:rFonts w:ascii="Arial" w:hAnsi="Arial" w:cs="Arial"/>
          <w:b/>
          <w:bCs/>
          <w:sz w:val="22"/>
          <w:lang w:val="en-GB"/>
        </w:rPr>
        <w:t>7.1.4</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A569A4" w:rsidRDefault="00A569A4" w:rsidP="00A569A4">
      <w:pPr>
        <w:numPr>
          <w:ilvl w:val="0"/>
          <w:numId w:val="1"/>
        </w:numPr>
        <w:ind w:left="357" w:hanging="357"/>
        <w:rPr>
          <w:b/>
          <w:sz w:val="30"/>
          <w:szCs w:val="30"/>
        </w:rPr>
      </w:pPr>
      <w:r w:rsidRPr="00E705BF">
        <w:rPr>
          <w:b/>
          <w:sz w:val="30"/>
          <w:szCs w:val="30"/>
        </w:rPr>
        <w:t>Introduction</w:t>
      </w:r>
    </w:p>
    <w:p w:rsidR="00BE6F58" w:rsidRDefault="00B93518" w:rsidP="00644D0E">
      <w:pPr>
        <w:adjustRightInd/>
        <w:snapToGrid w:val="0"/>
        <w:spacing w:after="120" w:line="276" w:lineRule="auto"/>
        <w:jc w:val="both"/>
        <w:rPr>
          <w:szCs w:val="20"/>
        </w:rPr>
      </w:pPr>
      <w:r w:rsidRPr="00932248">
        <w:rPr>
          <w:szCs w:val="20"/>
        </w:rPr>
        <w:t>In RAN</w:t>
      </w:r>
      <w:r>
        <w:rPr>
          <w:szCs w:val="20"/>
        </w:rPr>
        <w:t>1</w:t>
      </w:r>
      <w:r w:rsidRPr="00932248">
        <w:rPr>
          <w:szCs w:val="20"/>
        </w:rPr>
        <w:t>#</w:t>
      </w:r>
      <w:r>
        <w:rPr>
          <w:szCs w:val="20"/>
        </w:rPr>
        <w:t>84bis</w:t>
      </w:r>
      <w:r w:rsidRPr="00932248">
        <w:rPr>
          <w:szCs w:val="20"/>
        </w:rPr>
        <w:t>,</w:t>
      </w:r>
      <w:r>
        <w:rPr>
          <w:szCs w:val="20"/>
        </w:rPr>
        <w:t xml:space="preserve"> it was agreed that </w:t>
      </w:r>
      <w:r w:rsidR="00BE6F58">
        <w:rPr>
          <w:szCs w:val="20"/>
        </w:rPr>
        <w:t xml:space="preserve">for NR, </w:t>
      </w:r>
      <w:r>
        <w:rPr>
          <w:szCs w:val="20"/>
        </w:rPr>
        <w:t>multiple OFDM numerologies can be used in the same frequency band</w:t>
      </w:r>
      <w:r>
        <w:t xml:space="preserve"> </w:t>
      </w:r>
      <w:r w:rsidR="0035128A">
        <w:fldChar w:fldCharType="begin"/>
      </w:r>
      <w:r>
        <w:instrText xml:space="preserve"> REF _Ref450748211 \r \h </w:instrText>
      </w:r>
      <w:r w:rsidR="0035128A">
        <w:fldChar w:fldCharType="separate"/>
      </w:r>
      <w:r w:rsidR="00290D4A">
        <w:t>[2]</w:t>
      </w:r>
      <w:r w:rsidR="0035128A">
        <w:fldChar w:fldCharType="end"/>
      </w:r>
      <w:r w:rsidR="00BE6F58">
        <w:t xml:space="preserve">. </w:t>
      </w:r>
      <w:r w:rsidR="00BE6F58">
        <w:rPr>
          <w:szCs w:val="20"/>
        </w:rPr>
        <w:t>An OFDM numerology may include aspects like:</w:t>
      </w:r>
    </w:p>
    <w:p w:rsidR="00BE6F58" w:rsidRDefault="00BE6F58" w:rsidP="00644D0E">
      <w:pPr>
        <w:pStyle w:val="ListParagraph"/>
        <w:numPr>
          <w:ilvl w:val="0"/>
          <w:numId w:val="20"/>
        </w:numPr>
        <w:adjustRightInd/>
        <w:snapToGrid w:val="0"/>
        <w:spacing w:line="276" w:lineRule="auto"/>
        <w:ind w:firstLineChars="0"/>
        <w:jc w:val="both"/>
        <w:rPr>
          <w:szCs w:val="20"/>
        </w:rPr>
      </w:pPr>
      <w:r>
        <w:rPr>
          <w:szCs w:val="20"/>
        </w:rPr>
        <w:t>Subcarrier spacing</w:t>
      </w:r>
    </w:p>
    <w:p w:rsidR="00BE6F58" w:rsidRDefault="00BE6F58" w:rsidP="00644D0E">
      <w:pPr>
        <w:pStyle w:val="ListParagraph"/>
        <w:numPr>
          <w:ilvl w:val="0"/>
          <w:numId w:val="20"/>
        </w:numPr>
        <w:adjustRightInd/>
        <w:snapToGrid w:val="0"/>
        <w:spacing w:line="276" w:lineRule="auto"/>
        <w:ind w:firstLineChars="0"/>
        <w:jc w:val="both"/>
        <w:rPr>
          <w:szCs w:val="20"/>
        </w:rPr>
      </w:pPr>
      <w:r>
        <w:rPr>
          <w:szCs w:val="20"/>
        </w:rPr>
        <w:t>OFDM symbol duration(s)</w:t>
      </w:r>
    </w:p>
    <w:p w:rsidR="00BE6F58" w:rsidRDefault="00BE6F58" w:rsidP="00644D0E">
      <w:pPr>
        <w:pStyle w:val="ListParagraph"/>
        <w:numPr>
          <w:ilvl w:val="0"/>
          <w:numId w:val="20"/>
        </w:numPr>
        <w:adjustRightInd/>
        <w:snapToGrid w:val="0"/>
        <w:spacing w:line="276" w:lineRule="auto"/>
        <w:ind w:firstLineChars="0"/>
        <w:jc w:val="both"/>
        <w:rPr>
          <w:szCs w:val="20"/>
        </w:rPr>
      </w:pPr>
      <w:r>
        <w:rPr>
          <w:szCs w:val="20"/>
        </w:rPr>
        <w:t>Cyclic prefix (CP) duration(s)</w:t>
      </w:r>
    </w:p>
    <w:p w:rsidR="00BE6F58" w:rsidRDefault="00BE6F58" w:rsidP="00644D0E">
      <w:pPr>
        <w:pStyle w:val="ListParagraph"/>
        <w:numPr>
          <w:ilvl w:val="0"/>
          <w:numId w:val="20"/>
        </w:numPr>
        <w:adjustRightInd/>
        <w:snapToGrid w:val="0"/>
        <w:spacing w:line="276" w:lineRule="auto"/>
        <w:ind w:firstLineChars="0"/>
        <w:jc w:val="both"/>
        <w:rPr>
          <w:szCs w:val="20"/>
        </w:rPr>
      </w:pPr>
      <w:r>
        <w:rPr>
          <w:szCs w:val="20"/>
        </w:rPr>
        <w:t>The number of symbols per subframe</w:t>
      </w:r>
    </w:p>
    <w:p w:rsidR="00B93518" w:rsidRDefault="00BE6F58" w:rsidP="00644D0E">
      <w:pPr>
        <w:pStyle w:val="ListParagraph"/>
        <w:numPr>
          <w:ilvl w:val="0"/>
          <w:numId w:val="20"/>
        </w:numPr>
        <w:adjustRightInd/>
        <w:snapToGrid w:val="0"/>
        <w:spacing w:line="276" w:lineRule="auto"/>
        <w:ind w:firstLineChars="0"/>
        <w:jc w:val="both"/>
        <w:rPr>
          <w:szCs w:val="20"/>
        </w:rPr>
      </w:pPr>
      <w:r w:rsidRPr="00BE6F58">
        <w:rPr>
          <w:szCs w:val="20"/>
        </w:rPr>
        <w:t>Combinations of sampling rate and DFT size</w:t>
      </w:r>
    </w:p>
    <w:p w:rsidR="00BE6F58" w:rsidRDefault="00BE6F58" w:rsidP="00644D0E">
      <w:pPr>
        <w:adjustRightInd/>
        <w:snapToGrid w:val="0"/>
        <w:spacing w:before="120" w:line="276" w:lineRule="auto"/>
        <w:jc w:val="both"/>
        <w:rPr>
          <w:szCs w:val="20"/>
        </w:rPr>
      </w:pPr>
      <w:r>
        <w:rPr>
          <w:szCs w:val="20"/>
        </w:rPr>
        <w:t xml:space="preserve">Different numerologies are required in NR due the diverse requirements </w:t>
      </w:r>
      <w:r w:rsidR="0035128A">
        <w:rPr>
          <w:szCs w:val="20"/>
        </w:rPr>
        <w:fldChar w:fldCharType="begin"/>
      </w:r>
      <w:r>
        <w:rPr>
          <w:szCs w:val="20"/>
        </w:rPr>
        <w:instrText xml:space="preserve"> REF _Ref449622718 \r \h </w:instrText>
      </w:r>
      <w:r w:rsidR="0035128A">
        <w:rPr>
          <w:szCs w:val="20"/>
        </w:rPr>
      </w:r>
      <w:r w:rsidR="0035128A">
        <w:rPr>
          <w:szCs w:val="20"/>
        </w:rPr>
        <w:fldChar w:fldCharType="separate"/>
      </w:r>
      <w:r w:rsidR="00290D4A">
        <w:rPr>
          <w:szCs w:val="20"/>
        </w:rPr>
        <w:t>[3]</w:t>
      </w:r>
      <w:r w:rsidR="0035128A">
        <w:rPr>
          <w:szCs w:val="20"/>
        </w:rPr>
        <w:fldChar w:fldCharType="end"/>
      </w:r>
      <w:r>
        <w:rPr>
          <w:szCs w:val="20"/>
        </w:rPr>
        <w:t>. For example, low-latency applications may require a shorter OFDM symbol duration and/or fewer symbols per subframe than an MTC application. Furthermore, different deployment scenarios may require different numerologies. For example, deployment scenarios with large channel delay spreads require a longer CP duration than scenarios with short delay spreads.</w:t>
      </w:r>
    </w:p>
    <w:p w:rsidR="00644D0E" w:rsidRDefault="00644D0E" w:rsidP="00644D0E">
      <w:pPr>
        <w:adjustRightInd/>
        <w:snapToGrid w:val="0"/>
        <w:spacing w:line="276" w:lineRule="auto"/>
        <w:jc w:val="both"/>
        <w:rPr>
          <w:szCs w:val="20"/>
        </w:rPr>
      </w:pPr>
    </w:p>
    <w:p w:rsidR="00BE6F58" w:rsidRDefault="00BE6F58" w:rsidP="00644D0E">
      <w:pPr>
        <w:adjustRightInd/>
        <w:snapToGrid w:val="0"/>
        <w:spacing w:after="120" w:line="276" w:lineRule="auto"/>
        <w:jc w:val="both"/>
        <w:rPr>
          <w:szCs w:val="20"/>
        </w:rPr>
      </w:pPr>
      <w:r>
        <w:rPr>
          <w:szCs w:val="20"/>
        </w:rPr>
        <w:t>In RAN1#84bis, the numerology agreements focused on the subcarrier spacing fsc. I</w:t>
      </w:r>
      <w:r w:rsidR="00644D0E">
        <w:rPr>
          <w:szCs w:val="20"/>
        </w:rPr>
        <w:t>t</w:t>
      </w:r>
      <w:r>
        <w:rPr>
          <w:szCs w:val="20"/>
        </w:rPr>
        <w:t xml:space="preserve"> was agreed that </w:t>
      </w:r>
      <w:r w:rsidR="00BE28E3">
        <w:rPr>
          <w:szCs w:val="20"/>
        </w:rPr>
        <w:t xml:space="preserve">different </w:t>
      </w:r>
      <w:r>
        <w:rPr>
          <w:szCs w:val="20"/>
        </w:rPr>
        <w:t>subcarrier spacings are derived from a base subcarrier spacing f0, by multiplication with a scaling factor. Scaling alternatives were:</w:t>
      </w:r>
    </w:p>
    <w:p w:rsidR="00BE6F58" w:rsidRDefault="00BE6F58" w:rsidP="00644D0E">
      <w:pPr>
        <w:pStyle w:val="ListParagraph"/>
        <w:numPr>
          <w:ilvl w:val="0"/>
          <w:numId w:val="27"/>
        </w:numPr>
        <w:adjustRightInd/>
        <w:snapToGrid w:val="0"/>
        <w:spacing w:line="276" w:lineRule="auto"/>
        <w:ind w:firstLineChars="0"/>
        <w:jc w:val="both"/>
        <w:rPr>
          <w:szCs w:val="20"/>
        </w:rPr>
      </w:pPr>
      <w:r>
        <w:rPr>
          <w:szCs w:val="20"/>
        </w:rPr>
        <w:t xml:space="preserve">Alt 1: </w:t>
      </w:r>
      <w:r w:rsidR="00BE28E3">
        <w:rPr>
          <w:szCs w:val="20"/>
        </w:rPr>
        <w:t>fsc = f0 * 2</w:t>
      </w:r>
      <w:r w:rsidR="00BE28E3" w:rsidRPr="00BE28E3">
        <w:rPr>
          <w:szCs w:val="20"/>
          <w:vertAlign w:val="superscript"/>
        </w:rPr>
        <w:t>m</w:t>
      </w:r>
      <w:r w:rsidR="00BE28E3">
        <w:rPr>
          <w:szCs w:val="20"/>
        </w:rPr>
        <w:t>, where m is an integer chosen from a set of possible values.</w:t>
      </w:r>
    </w:p>
    <w:p w:rsidR="00BE28E3" w:rsidRDefault="00BE28E3" w:rsidP="00644D0E">
      <w:pPr>
        <w:pStyle w:val="ListParagraph"/>
        <w:numPr>
          <w:ilvl w:val="0"/>
          <w:numId w:val="27"/>
        </w:numPr>
        <w:adjustRightInd/>
        <w:snapToGrid w:val="0"/>
        <w:spacing w:line="276" w:lineRule="auto"/>
        <w:ind w:firstLineChars="0"/>
        <w:jc w:val="both"/>
        <w:rPr>
          <w:szCs w:val="20"/>
        </w:rPr>
      </w:pPr>
      <w:r>
        <w:rPr>
          <w:szCs w:val="20"/>
        </w:rPr>
        <w:t>Alt 2: fsc = f0 * M, where M is a positive integer chosen from a set of possible values.</w:t>
      </w:r>
    </w:p>
    <w:p w:rsidR="00BE28E3" w:rsidRDefault="00BE28E3" w:rsidP="00644D0E">
      <w:pPr>
        <w:adjustRightInd/>
        <w:snapToGrid w:val="0"/>
        <w:spacing w:before="120" w:line="276" w:lineRule="auto"/>
        <w:jc w:val="both"/>
        <w:rPr>
          <w:szCs w:val="20"/>
        </w:rPr>
      </w:pPr>
      <w:r>
        <w:rPr>
          <w:szCs w:val="20"/>
        </w:rPr>
        <w:t>Note that in Alt 1, f0 does not have to be the smallest subcarrier spacing, since 2</w:t>
      </w:r>
      <w:r w:rsidRPr="00BE28E3">
        <w:rPr>
          <w:szCs w:val="20"/>
          <w:vertAlign w:val="superscript"/>
        </w:rPr>
        <w:t>m</w:t>
      </w:r>
      <w:r>
        <w:rPr>
          <w:szCs w:val="20"/>
        </w:rPr>
        <w:t xml:space="preserve"> may be smaller than 1, e.g. if m=(-1). For Alt 2, however, f0 is the smallest subcarrier spacing, since the smallest M=1.</w:t>
      </w:r>
    </w:p>
    <w:p w:rsidR="00644D0E" w:rsidRDefault="00644D0E" w:rsidP="00644D0E">
      <w:pPr>
        <w:adjustRightInd/>
        <w:snapToGrid w:val="0"/>
        <w:spacing w:line="276" w:lineRule="auto"/>
        <w:jc w:val="both"/>
        <w:rPr>
          <w:szCs w:val="20"/>
        </w:rPr>
      </w:pPr>
    </w:p>
    <w:p w:rsidR="00BE28E3" w:rsidRDefault="00710EF0" w:rsidP="00644D0E">
      <w:pPr>
        <w:adjustRightInd/>
        <w:snapToGrid w:val="0"/>
        <w:spacing w:after="120" w:line="276" w:lineRule="auto"/>
        <w:jc w:val="both"/>
        <w:rPr>
          <w:szCs w:val="20"/>
        </w:rPr>
      </w:pPr>
      <w:r>
        <w:rPr>
          <w:szCs w:val="20"/>
        </w:rPr>
        <w:t>Furthermore, d</w:t>
      </w:r>
      <w:r w:rsidR="00BE28E3">
        <w:rPr>
          <w:szCs w:val="20"/>
        </w:rPr>
        <w:t>ifferent ca</w:t>
      </w:r>
      <w:r>
        <w:rPr>
          <w:szCs w:val="20"/>
        </w:rPr>
        <w:t>ndidate numerologies were agreed</w:t>
      </w:r>
      <w:r w:rsidR="00BE28E3">
        <w:rPr>
          <w:szCs w:val="20"/>
        </w:rPr>
        <w:t>:</w:t>
      </w:r>
    </w:p>
    <w:p w:rsidR="00BE28E3" w:rsidRDefault="00BE28E3" w:rsidP="00644D0E">
      <w:pPr>
        <w:pStyle w:val="ListParagraph"/>
        <w:numPr>
          <w:ilvl w:val="0"/>
          <w:numId w:val="28"/>
        </w:numPr>
        <w:adjustRightInd/>
        <w:snapToGrid w:val="0"/>
        <w:spacing w:line="276" w:lineRule="auto"/>
        <w:ind w:firstLineChars="0"/>
        <w:jc w:val="both"/>
        <w:rPr>
          <w:szCs w:val="20"/>
        </w:rPr>
      </w:pPr>
      <w:r>
        <w:rPr>
          <w:szCs w:val="20"/>
        </w:rPr>
        <w:t>Alt 1: LTE-based numerology</w:t>
      </w:r>
      <w:r w:rsidR="005E0C4B">
        <w:rPr>
          <w:szCs w:val="20"/>
        </w:rPr>
        <w:t>:</w:t>
      </w:r>
      <w:r>
        <w:rPr>
          <w:szCs w:val="20"/>
        </w:rPr>
        <w:t xml:space="preserve"> One of the scaled numerologies is the </w:t>
      </w:r>
      <w:r w:rsidRPr="00BE28E3">
        <w:rPr>
          <w:szCs w:val="20"/>
        </w:rPr>
        <w:t>LTE</w:t>
      </w:r>
      <w:r>
        <w:rPr>
          <w:szCs w:val="20"/>
        </w:rPr>
        <w:t xml:space="preserve"> numerology</w:t>
      </w:r>
      <w:r w:rsidRPr="00BE28E3">
        <w:rPr>
          <w:szCs w:val="20"/>
        </w:rPr>
        <w:t>, i.e. fsc=</w:t>
      </w:r>
      <w:r>
        <w:rPr>
          <w:szCs w:val="20"/>
        </w:rPr>
        <w:t xml:space="preserve"> 15 kHz, and symbol and CP duration as in LTE.</w:t>
      </w:r>
    </w:p>
    <w:p w:rsidR="005E0C4B" w:rsidRDefault="005E0C4B" w:rsidP="00644D0E">
      <w:pPr>
        <w:pStyle w:val="ListParagraph"/>
        <w:numPr>
          <w:ilvl w:val="0"/>
          <w:numId w:val="28"/>
        </w:numPr>
        <w:adjustRightInd/>
        <w:snapToGrid w:val="0"/>
        <w:spacing w:line="276" w:lineRule="auto"/>
        <w:ind w:firstLineChars="0"/>
        <w:jc w:val="both"/>
        <w:rPr>
          <w:szCs w:val="20"/>
        </w:rPr>
      </w:pPr>
      <w:r>
        <w:rPr>
          <w:szCs w:val="20"/>
        </w:rPr>
        <w:t>Alt 2: Uniform symbol duration: One of the scaled numerologies includes fsc=17.5 kHz.</w:t>
      </w:r>
    </w:p>
    <w:p w:rsidR="005E0C4B" w:rsidRDefault="005E0C4B" w:rsidP="00644D0E">
      <w:pPr>
        <w:pStyle w:val="ListParagraph"/>
        <w:numPr>
          <w:ilvl w:val="0"/>
          <w:numId w:val="28"/>
        </w:numPr>
        <w:adjustRightInd/>
        <w:snapToGrid w:val="0"/>
        <w:spacing w:line="276" w:lineRule="auto"/>
        <w:ind w:firstLineChars="0"/>
        <w:jc w:val="both"/>
        <w:rPr>
          <w:szCs w:val="20"/>
        </w:rPr>
      </w:pPr>
      <w:r>
        <w:rPr>
          <w:szCs w:val="20"/>
        </w:rPr>
        <w:t>Alt 3: Uniform symbol duration: One of the scaled numerologies includes fsc= 17.07 kHz.</w:t>
      </w:r>
    </w:p>
    <w:p w:rsidR="005E0C4B" w:rsidRDefault="005E0C4B" w:rsidP="00644D0E">
      <w:pPr>
        <w:pStyle w:val="ListParagraph"/>
        <w:numPr>
          <w:ilvl w:val="0"/>
          <w:numId w:val="28"/>
        </w:numPr>
        <w:adjustRightInd/>
        <w:snapToGrid w:val="0"/>
        <w:spacing w:line="276" w:lineRule="auto"/>
        <w:ind w:firstLineChars="0"/>
        <w:jc w:val="both"/>
        <w:rPr>
          <w:szCs w:val="20"/>
        </w:rPr>
      </w:pPr>
      <w:r>
        <w:rPr>
          <w:szCs w:val="20"/>
        </w:rPr>
        <w:t>Alt 4: Uniform symbol duration: One of the scaled numerologies includes fsc= 21.33 kHz.</w:t>
      </w:r>
    </w:p>
    <w:p w:rsidR="005E0C4B" w:rsidRDefault="005E0C4B" w:rsidP="00644D0E">
      <w:pPr>
        <w:adjustRightInd/>
        <w:snapToGrid w:val="0"/>
        <w:spacing w:before="120" w:after="120" w:line="276" w:lineRule="auto"/>
        <w:jc w:val="both"/>
        <w:rPr>
          <w:szCs w:val="20"/>
        </w:rPr>
      </w:pPr>
      <w:r>
        <w:rPr>
          <w:szCs w:val="20"/>
        </w:rPr>
        <w:t>The candidates can be grouped as follows:</w:t>
      </w:r>
    </w:p>
    <w:p w:rsidR="005E0C4B" w:rsidRDefault="00065756" w:rsidP="00644D0E">
      <w:pPr>
        <w:pStyle w:val="ListParagraph"/>
        <w:numPr>
          <w:ilvl w:val="0"/>
          <w:numId w:val="29"/>
        </w:numPr>
        <w:adjustRightInd/>
        <w:snapToGrid w:val="0"/>
        <w:spacing w:line="276" w:lineRule="auto"/>
        <w:ind w:firstLineChars="0"/>
        <w:jc w:val="both"/>
        <w:rPr>
          <w:szCs w:val="20"/>
        </w:rPr>
      </w:pPr>
      <w:r>
        <w:rPr>
          <w:szCs w:val="20"/>
        </w:rPr>
        <w:t>LTE</w:t>
      </w:r>
      <w:r w:rsidR="009A11BB">
        <w:rPr>
          <w:szCs w:val="20"/>
        </w:rPr>
        <w:t xml:space="preserve"> </w:t>
      </w:r>
      <w:r>
        <w:rPr>
          <w:szCs w:val="20"/>
        </w:rPr>
        <w:t>family (</w:t>
      </w:r>
      <w:r w:rsidR="005E0C4B">
        <w:rPr>
          <w:szCs w:val="20"/>
        </w:rPr>
        <w:t>LTE-based numerology</w:t>
      </w:r>
      <w:r>
        <w:rPr>
          <w:szCs w:val="20"/>
        </w:rPr>
        <w:t>)</w:t>
      </w:r>
      <w:r w:rsidR="005E0C4B">
        <w:rPr>
          <w:szCs w:val="20"/>
        </w:rPr>
        <w:t>: Alt 1</w:t>
      </w:r>
    </w:p>
    <w:p w:rsidR="00BD2134" w:rsidRPr="006B5FCB" w:rsidRDefault="00065756" w:rsidP="00644D0E">
      <w:pPr>
        <w:pStyle w:val="ListParagraph"/>
        <w:numPr>
          <w:ilvl w:val="0"/>
          <w:numId w:val="29"/>
        </w:numPr>
        <w:adjustRightInd/>
        <w:snapToGrid w:val="0"/>
        <w:spacing w:after="240" w:line="276" w:lineRule="auto"/>
        <w:ind w:firstLineChars="0"/>
        <w:jc w:val="both"/>
        <w:rPr>
          <w:szCs w:val="20"/>
        </w:rPr>
      </w:pPr>
      <w:r>
        <w:rPr>
          <w:szCs w:val="20"/>
        </w:rPr>
        <w:t>Uniform family (u</w:t>
      </w:r>
      <w:r w:rsidR="005E0C4B">
        <w:rPr>
          <w:szCs w:val="20"/>
        </w:rPr>
        <w:t>niform symbol duration with 2</w:t>
      </w:r>
      <w:r w:rsidR="005E0C4B" w:rsidRPr="005E0C4B">
        <w:rPr>
          <w:szCs w:val="20"/>
          <w:vertAlign w:val="superscript"/>
        </w:rPr>
        <w:t>n</w:t>
      </w:r>
      <w:r>
        <w:rPr>
          <w:szCs w:val="20"/>
        </w:rPr>
        <w:t xml:space="preserve"> symbols per 1 ms, </w:t>
      </w:r>
      <w:r w:rsidR="005E0C4B">
        <w:rPr>
          <w:szCs w:val="20"/>
        </w:rPr>
        <w:t>n integer): Alt 2, Alt 3, Alt 4</w:t>
      </w:r>
    </w:p>
    <w:p w:rsidR="00412643" w:rsidRDefault="006F75D8" w:rsidP="00412643">
      <w:pPr>
        <w:numPr>
          <w:ilvl w:val="0"/>
          <w:numId w:val="1"/>
        </w:numPr>
        <w:ind w:left="357" w:hanging="357"/>
        <w:rPr>
          <w:b/>
          <w:sz w:val="30"/>
          <w:szCs w:val="30"/>
        </w:rPr>
      </w:pPr>
      <w:bookmarkStart w:id="2" w:name="_Ref450154210"/>
      <w:r>
        <w:rPr>
          <w:b/>
          <w:sz w:val="30"/>
          <w:szCs w:val="30"/>
        </w:rPr>
        <w:t>N</w:t>
      </w:r>
      <w:r w:rsidR="00B93518">
        <w:rPr>
          <w:b/>
          <w:sz w:val="30"/>
          <w:szCs w:val="30"/>
        </w:rPr>
        <w:t>umerology candidate properties</w:t>
      </w:r>
      <w:bookmarkEnd w:id="2"/>
    </w:p>
    <w:p w:rsidR="005E1069" w:rsidRDefault="005E1069" w:rsidP="00644D0E">
      <w:pPr>
        <w:adjustRightInd/>
        <w:snapToGrid w:val="0"/>
        <w:spacing w:line="276" w:lineRule="auto"/>
        <w:jc w:val="both"/>
        <w:rPr>
          <w:szCs w:val="20"/>
        </w:rPr>
      </w:pPr>
      <w:r>
        <w:rPr>
          <w:szCs w:val="20"/>
        </w:rPr>
        <w:t xml:space="preserve">The choice of numerology is influenced by a number of design criteria that one wants to achieve for the new RAT. Below, a </w:t>
      </w:r>
      <w:r w:rsidR="00D50911">
        <w:rPr>
          <w:szCs w:val="20"/>
        </w:rPr>
        <w:t>flow chart</w:t>
      </w:r>
      <w:r>
        <w:rPr>
          <w:szCs w:val="20"/>
        </w:rPr>
        <w:t xml:space="preserve"> is shown to illustrate the choice of numerology:</w:t>
      </w:r>
    </w:p>
    <w:p w:rsidR="005E1069" w:rsidRDefault="0050758D" w:rsidP="00D035BD">
      <w:pPr>
        <w:adjustRightInd/>
        <w:snapToGrid w:val="0"/>
        <w:spacing w:afterLines="50" w:line="276" w:lineRule="auto"/>
        <w:jc w:val="center"/>
        <w:rPr>
          <w:szCs w:val="20"/>
        </w:rPr>
      </w:pPr>
      <w:r w:rsidRPr="0050758D">
        <w:rPr>
          <w:noProof/>
          <w:szCs w:val="20"/>
        </w:rPr>
        <w:lastRenderedPageBreak/>
        <w:drawing>
          <wp:inline distT="0" distB="0" distL="0" distR="0">
            <wp:extent cx="4813402" cy="2267712"/>
            <wp:effectExtent l="0" t="0" r="0" b="0"/>
            <wp:docPr id="11"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05600" cy="2807732"/>
                      <a:chOff x="1066800" y="304800"/>
                      <a:chExt cx="6705600" cy="2807732"/>
                    </a:xfrm>
                  </a:grpSpPr>
                  <a:sp>
                    <a:nvSpPr>
                      <a:cNvPr id="3" name="Flowchart: Decision 2"/>
                      <a:cNvSpPr/>
                    </a:nvSpPr>
                    <a:spPr>
                      <a:xfrm>
                        <a:off x="2057400" y="304800"/>
                        <a:ext cx="2057400" cy="1371600"/>
                      </a:xfrm>
                      <a:prstGeom prst="flowChartDecision">
                        <a:avLst/>
                      </a:prstGeom>
                      <a:solidFill>
                        <a:schemeClr val="bg1">
                          <a:lumMod val="95000"/>
                        </a:schemeClr>
                      </a:solidFill>
                      <a:ln>
                        <a:solidFill>
                          <a:schemeClr val="tx1"/>
                        </a:solidFill>
                      </a:ln>
                    </a:spPr>
                    <a:txSp>
                      <a:txBody>
                        <a:bodyPr wrap="none"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200" dirty="0" smtClean="0">
                              <a:solidFill>
                                <a:schemeClr val="tx1"/>
                              </a:solidFill>
                            </a:rPr>
                            <a:t>Select 2</a:t>
                          </a:r>
                          <a:r>
                            <a:rPr lang="en-GB" sz="1200" baseline="30000" dirty="0" smtClean="0">
                              <a:solidFill>
                                <a:schemeClr val="tx1"/>
                              </a:solidFill>
                            </a:rPr>
                            <a:t>m</a:t>
                          </a:r>
                          <a:r>
                            <a:rPr lang="en-GB" sz="1200" dirty="0" smtClean="0">
                              <a:solidFill>
                                <a:schemeClr val="tx1"/>
                              </a:solidFill>
                            </a:rPr>
                            <a:t> uniform </a:t>
                          </a:r>
                          <a:endParaRPr lang="en-GB" sz="1200" dirty="0" smtClean="0">
                            <a:solidFill>
                              <a:schemeClr val="tx1"/>
                            </a:solidFill>
                          </a:endParaRPr>
                        </a:p>
                        <a:p>
                          <a:pPr algn="ctr"/>
                          <a:r>
                            <a:rPr lang="en-GB" sz="1200" dirty="0" smtClean="0">
                              <a:solidFill>
                                <a:schemeClr val="tx1"/>
                              </a:solidFill>
                            </a:rPr>
                            <a:t>symbols </a:t>
                          </a:r>
                          <a:r>
                            <a:rPr lang="sv-SE" sz="1200" dirty="0" smtClean="0">
                              <a:solidFill>
                                <a:schemeClr val="tx1"/>
                              </a:solidFill>
                            </a:rPr>
                            <a:t>per </a:t>
                          </a:r>
                          <a:r>
                            <a:rPr lang="sv-SE" sz="1200" dirty="0" smtClean="0">
                              <a:solidFill>
                                <a:schemeClr val="tx1"/>
                              </a:solidFill>
                            </a:rPr>
                            <a:t>1 ms </a:t>
                          </a:r>
                          <a:r>
                            <a:rPr lang="sv-SE" sz="1200" dirty="0" smtClean="0">
                              <a:solidFill>
                                <a:schemeClr val="tx1"/>
                              </a:solidFill>
                            </a:rPr>
                            <a:t>or keep LTE </a:t>
                          </a:r>
                        </a:p>
                        <a:p>
                          <a:pPr algn="ctr"/>
                          <a:r>
                            <a:rPr lang="sv-SE" sz="1200" dirty="0" smtClean="0">
                              <a:solidFill>
                                <a:schemeClr val="tx1"/>
                              </a:solidFill>
                            </a:rPr>
                            <a:t>numerology?</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 name="Straight Arrow Connector 4"/>
                      <a:cNvCxnSpPr/>
                    </a:nvCxnSpPr>
                    <a:spPr>
                      <a:xfrm>
                        <a:off x="1447800" y="990600"/>
                        <a:ext cx="0" cy="1752600"/>
                      </a:xfrm>
                      <a:prstGeom prst="straightConnector1">
                        <a:avLst/>
                      </a:prstGeom>
                      <a:ln w="22225">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7" name="Straight Connector 6"/>
                      <a:cNvCxnSpPr>
                        <a:endCxn id="3" idx="1"/>
                      </a:cNvCxnSpPr>
                    </a:nvCxnSpPr>
                    <a:spPr>
                      <a:xfrm>
                        <a:off x="1447800" y="990600"/>
                        <a:ext cx="609600" cy="0"/>
                      </a:xfrm>
                      <a:prstGeom prst="line">
                        <a:avLst/>
                      </a:prstGeom>
                      <a:ln w="22225">
                        <a:solidFill>
                          <a:schemeClr val="tx1"/>
                        </a:solidFill>
                        <a:tailEnd w="lg" len="lg"/>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1143000" y="2743200"/>
                        <a:ext cx="67037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dirty="0" smtClean="0"/>
                            <a:t>Alt 1 </a:t>
                          </a:r>
                        </a:p>
                      </a:txBody>
                      <a:useSpRect/>
                    </a:txSp>
                  </a:sp>
                  <a:sp>
                    <a:nvSpPr>
                      <a:cNvPr id="10" name="TextBox 9"/>
                      <a:cNvSpPr txBox="1"/>
                    </a:nvSpPr>
                    <a:spPr>
                      <a:xfrm>
                        <a:off x="1066800" y="609600"/>
                        <a:ext cx="10115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Keep </a:t>
                          </a:r>
                          <a:r>
                            <a:rPr lang="sv-SE" dirty="0" smtClean="0"/>
                            <a:t>LTE</a:t>
                          </a:r>
                          <a:endParaRPr lang="en-GB" dirty="0"/>
                        </a:p>
                      </a:txBody>
                      <a:useSpRect/>
                    </a:txSp>
                  </a:sp>
                  <a:sp>
                    <a:nvSpPr>
                      <a:cNvPr id="21" name="Flowchart: Decision 20"/>
                      <a:cNvSpPr/>
                    </a:nvSpPr>
                    <a:spPr>
                      <a:xfrm>
                        <a:off x="4572000" y="1447800"/>
                        <a:ext cx="1600200" cy="1066800"/>
                      </a:xfrm>
                      <a:prstGeom prst="flowChartDecision">
                        <a:avLst/>
                      </a:prstGeom>
                      <a:solidFill>
                        <a:schemeClr val="bg1">
                          <a:lumMod val="95000"/>
                        </a:schemeClr>
                      </a:solidFill>
                      <a:ln>
                        <a:solidFill>
                          <a:schemeClr val="tx1"/>
                        </a:solidFill>
                      </a:ln>
                    </a:spPr>
                    <a:txSp>
                      <a:txBody>
                        <a:bodyPr wrap="none"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dirty="0" smtClean="0">
                              <a:solidFill>
                                <a:schemeClr val="tx1"/>
                              </a:solidFill>
                            </a:rPr>
                            <a:t>Keep LTE f</a:t>
                          </a:r>
                          <a:r>
                            <a:rPr lang="sv-SE" sz="1400" baseline="-25000" dirty="0" smtClean="0">
                              <a:solidFill>
                                <a:schemeClr val="tx1"/>
                              </a:solidFill>
                            </a:rPr>
                            <a:t>s</a:t>
                          </a:r>
                          <a:r>
                            <a:rPr lang="sv-SE" sz="1400" dirty="0" smtClean="0">
                              <a:solidFill>
                                <a:schemeClr val="tx1"/>
                              </a:solidFill>
                            </a:rPr>
                            <a:t> </a:t>
                          </a:r>
                        </a:p>
                        <a:p>
                          <a:pPr algn="ctr"/>
                          <a:r>
                            <a:rPr lang="sv-SE" sz="1400" dirty="0" smtClean="0">
                              <a:solidFill>
                                <a:schemeClr val="tx1"/>
                              </a:solidFill>
                            </a:rPr>
                            <a:t>or FFT?</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 name="Straight Connector 22"/>
                      <a:cNvCxnSpPr>
                        <a:stCxn id="3" idx="3"/>
                      </a:cNvCxnSpPr>
                    </a:nvCxnSpPr>
                    <a:spPr>
                      <a:xfrm>
                        <a:off x="4114800" y="990600"/>
                        <a:ext cx="1219200" cy="0"/>
                      </a:xfrm>
                      <a:prstGeom prst="line">
                        <a:avLst/>
                      </a:prstGeom>
                      <a:ln w="22225">
                        <a:solidFill>
                          <a:schemeClr val="tx1"/>
                        </a:solidFill>
                        <a:tailEnd w="lg" len="lg"/>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5334000" y="990600"/>
                        <a:ext cx="0" cy="457200"/>
                      </a:xfrm>
                      <a:prstGeom prst="straightConnector1">
                        <a:avLst/>
                      </a:prstGeom>
                      <a:ln w="22225">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4114800" y="1981200"/>
                        <a:ext cx="457200" cy="0"/>
                      </a:xfrm>
                      <a:prstGeom prst="line">
                        <a:avLst/>
                      </a:prstGeom>
                      <a:ln w="22225">
                        <a:solidFill>
                          <a:schemeClr val="tx1"/>
                        </a:solidFill>
                        <a:tailEnd w="lg" len="lg"/>
                      </a:ln>
                    </a:spPr>
                    <a:style>
                      <a:lnRef idx="1">
                        <a:schemeClr val="accent1"/>
                      </a:lnRef>
                      <a:fillRef idx="0">
                        <a:schemeClr val="accent1"/>
                      </a:fillRef>
                      <a:effectRef idx="0">
                        <a:schemeClr val="accent1"/>
                      </a:effectRef>
                      <a:fontRef idx="minor">
                        <a:schemeClr val="tx1"/>
                      </a:fontRef>
                    </a:style>
                  </a:cxnSp>
                  <a:cxnSp>
                    <a:nvCxnSpPr>
                      <a:cNvPr id="29" name="Straight Connector 28"/>
                      <a:cNvCxnSpPr/>
                    </a:nvCxnSpPr>
                    <a:spPr>
                      <a:xfrm>
                        <a:off x="6172200" y="1981200"/>
                        <a:ext cx="457200" cy="0"/>
                      </a:xfrm>
                      <a:prstGeom prst="line">
                        <a:avLst/>
                      </a:prstGeom>
                      <a:ln w="22225">
                        <a:solidFill>
                          <a:schemeClr val="tx1"/>
                        </a:solidFill>
                        <a:tailEnd w="lg" len="lg"/>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nvCxnSpPr>
                    <a:spPr>
                      <a:xfrm>
                        <a:off x="4114800" y="1981200"/>
                        <a:ext cx="0" cy="762000"/>
                      </a:xfrm>
                      <a:prstGeom prst="straightConnector1">
                        <a:avLst/>
                      </a:prstGeom>
                      <a:ln w="22225">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a:off x="6629400" y="1981200"/>
                        <a:ext cx="0" cy="762000"/>
                      </a:xfrm>
                      <a:prstGeom prst="straightConnector1">
                        <a:avLst/>
                      </a:prstGeom>
                      <a:ln w="22225">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3802123" y="2743200"/>
                        <a:ext cx="61747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Alt 2</a:t>
                          </a:r>
                          <a:endParaRPr lang="en-GB" dirty="0"/>
                        </a:p>
                      </a:txBody>
                      <a:useSpRect/>
                    </a:txSp>
                  </a:sp>
                  <a:sp>
                    <a:nvSpPr>
                      <a:cNvPr id="37" name="TextBox 36"/>
                      <a:cNvSpPr txBox="1"/>
                    </a:nvSpPr>
                    <a:spPr>
                      <a:xfrm>
                        <a:off x="5968242" y="2743200"/>
                        <a:ext cx="1194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Alt 3 and 4</a:t>
                          </a:r>
                          <a:endParaRPr lang="en-GB" dirty="0"/>
                        </a:p>
                      </a:txBody>
                      <a:useSpRect/>
                    </a:txSp>
                  </a:sp>
                  <a:sp>
                    <a:nvSpPr>
                      <a:cNvPr id="38" name="TextBox 37"/>
                      <a:cNvSpPr txBox="1"/>
                    </a:nvSpPr>
                    <a:spPr>
                      <a:xfrm>
                        <a:off x="3733800" y="1600200"/>
                        <a:ext cx="10300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dirty="0" smtClean="0"/>
                            <a:t>Keep </a:t>
                          </a:r>
                          <a:r>
                            <a:rPr lang="sv-SE" dirty="0" smtClean="0"/>
                            <a:t>FFT</a:t>
                          </a:r>
                          <a:endParaRPr lang="en-GB" dirty="0"/>
                        </a:p>
                      </a:txBody>
                      <a:useSpRect/>
                    </a:txSp>
                  </a:sp>
                  <a:sp>
                    <a:nvSpPr>
                      <a:cNvPr id="39" name="TextBox 38"/>
                      <a:cNvSpPr txBox="1"/>
                    </a:nvSpPr>
                    <a:spPr>
                      <a:xfrm>
                        <a:off x="6024859" y="1600200"/>
                        <a:ext cx="124579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dirty="0" smtClean="0"/>
                            <a:t>Keep </a:t>
                          </a:r>
                          <a:r>
                            <a:rPr lang="sv-SE" dirty="0" smtClean="0"/>
                            <a:t>LTE f</a:t>
                          </a:r>
                          <a:r>
                            <a:rPr lang="sv-SE" baseline="-25000" dirty="0" smtClean="0"/>
                            <a:t>s</a:t>
                          </a:r>
                          <a:r>
                            <a:rPr lang="sv-SE" dirty="0" smtClean="0"/>
                            <a:t> </a:t>
                          </a:r>
                        </a:p>
                        <a:p>
                          <a:pPr algn="ctr"/>
                          <a:endParaRPr lang="en-GB" dirty="0"/>
                        </a:p>
                      </a:txBody>
                      <a:useSpRect/>
                    </a:txSp>
                  </a:sp>
                  <a:sp>
                    <a:nvSpPr>
                      <a:cNvPr id="45" name="TextBox 44"/>
                      <a:cNvSpPr txBox="1"/>
                    </a:nvSpPr>
                    <a:spPr>
                      <a:xfrm>
                        <a:off x="3824676" y="609600"/>
                        <a:ext cx="3947724"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GB" dirty="0" smtClean="0"/>
                            <a:t>Select 2</a:t>
                          </a:r>
                          <a:r>
                            <a:rPr lang="en-GB" baseline="30000" dirty="0" smtClean="0"/>
                            <a:t>m</a:t>
                          </a:r>
                          <a:r>
                            <a:rPr lang="en-GB" dirty="0" smtClean="0"/>
                            <a:t> </a:t>
                          </a:r>
                          <a:r>
                            <a:rPr lang="en-GB" dirty="0" smtClean="0"/>
                            <a:t>uniform symbols </a:t>
                          </a:r>
                          <a:r>
                            <a:rPr lang="sv-SE" dirty="0" smtClean="0"/>
                            <a:t>per 1 ms</a:t>
                          </a:r>
                          <a:endParaRPr lang="en-GB" dirty="0"/>
                        </a:p>
                      </a:txBody>
                      <a:useSpRect/>
                    </a:txSp>
                  </a:sp>
                  <a:cxnSp>
                    <a:nvCxnSpPr>
                      <a:cNvPr id="47" name="Straight Arrow Connector 46"/>
                      <a:cNvCxnSpPr/>
                    </a:nvCxnSpPr>
                    <a:spPr>
                      <a:xfrm>
                        <a:off x="3124200" y="-152400"/>
                        <a:ext cx="0" cy="457200"/>
                      </a:xfrm>
                      <a:prstGeom prst="straightConnector1">
                        <a:avLst/>
                      </a:prstGeom>
                      <a:ln w="22225">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D50911" w:rsidRPr="00405CF3" w:rsidRDefault="00D50911" w:rsidP="00644D0E">
      <w:pPr>
        <w:pStyle w:val="Caption"/>
        <w:jc w:val="center"/>
      </w:pPr>
      <w:r w:rsidRPr="00405CF3">
        <w:t xml:space="preserve">Figure </w:t>
      </w:r>
      <w:r w:rsidR="0035128A" w:rsidRPr="00405CF3">
        <w:fldChar w:fldCharType="begin"/>
      </w:r>
      <w:r w:rsidR="00F317AB" w:rsidRPr="00405CF3">
        <w:instrText xml:space="preserve"> SEQ Figure \* ARABIC </w:instrText>
      </w:r>
      <w:r w:rsidR="0035128A" w:rsidRPr="00405CF3">
        <w:fldChar w:fldCharType="separate"/>
      </w:r>
      <w:r w:rsidR="00290D4A" w:rsidRPr="00405CF3">
        <w:rPr>
          <w:noProof/>
        </w:rPr>
        <w:t>1</w:t>
      </w:r>
      <w:r w:rsidR="0035128A" w:rsidRPr="00405CF3">
        <w:fldChar w:fldCharType="end"/>
      </w:r>
      <w:r w:rsidRPr="00405CF3">
        <w:t xml:space="preserve"> </w:t>
      </w:r>
      <w:r w:rsidR="0050758D" w:rsidRPr="00405CF3">
        <w:t>A flow chart describing the choice of difference numerology candidates</w:t>
      </w:r>
    </w:p>
    <w:p w:rsidR="002730B3" w:rsidRDefault="00D50911" w:rsidP="00644D0E">
      <w:pPr>
        <w:pStyle w:val="ListParagraph"/>
        <w:numPr>
          <w:ilvl w:val="0"/>
          <w:numId w:val="33"/>
        </w:numPr>
        <w:adjustRightInd/>
        <w:snapToGrid w:val="0"/>
        <w:spacing w:line="276" w:lineRule="auto"/>
        <w:ind w:firstLineChars="0"/>
        <w:jc w:val="both"/>
        <w:rPr>
          <w:szCs w:val="20"/>
        </w:rPr>
      </w:pPr>
      <w:r>
        <w:rPr>
          <w:szCs w:val="20"/>
        </w:rPr>
        <w:t>The first question is whether the attractive approach with 2</w:t>
      </w:r>
      <w:r w:rsidRPr="00D50911">
        <w:rPr>
          <w:szCs w:val="20"/>
          <w:vertAlign w:val="superscript"/>
        </w:rPr>
        <w:t>m</w:t>
      </w:r>
      <w:r>
        <w:rPr>
          <w:szCs w:val="20"/>
        </w:rPr>
        <w:t xml:space="preserve"> uniform symbols per 1 ms is selected or if the LTE numerology has to be kept.</w:t>
      </w:r>
      <w:r w:rsidR="002730B3">
        <w:rPr>
          <w:szCs w:val="20"/>
        </w:rPr>
        <w:t xml:space="preserve"> </w:t>
      </w:r>
    </w:p>
    <w:p w:rsidR="002730B3" w:rsidRPr="002730B3" w:rsidRDefault="00D50911" w:rsidP="00644D0E">
      <w:pPr>
        <w:pStyle w:val="ListParagraph"/>
        <w:numPr>
          <w:ilvl w:val="0"/>
          <w:numId w:val="33"/>
        </w:numPr>
        <w:adjustRightInd/>
        <w:snapToGrid w:val="0"/>
        <w:spacing w:line="276" w:lineRule="auto"/>
        <w:ind w:firstLineChars="0"/>
        <w:jc w:val="both"/>
        <w:rPr>
          <w:szCs w:val="20"/>
        </w:rPr>
      </w:pPr>
      <w:r>
        <w:rPr>
          <w:szCs w:val="20"/>
        </w:rPr>
        <w:t xml:space="preserve">If </w:t>
      </w:r>
      <w:r w:rsidR="002730B3">
        <w:rPr>
          <w:szCs w:val="20"/>
        </w:rPr>
        <w:t>2</w:t>
      </w:r>
      <w:r w:rsidR="002730B3" w:rsidRPr="00D50911">
        <w:rPr>
          <w:szCs w:val="20"/>
          <w:vertAlign w:val="superscript"/>
        </w:rPr>
        <w:t>m</w:t>
      </w:r>
      <w:r w:rsidR="002730B3">
        <w:rPr>
          <w:szCs w:val="20"/>
        </w:rPr>
        <w:t xml:space="preserve"> uniform symbols per 1 ms</w:t>
      </w:r>
      <w:r>
        <w:rPr>
          <w:szCs w:val="20"/>
        </w:rPr>
        <w:t xml:space="preserve"> is selected</w:t>
      </w:r>
      <w:r w:rsidR="002730B3">
        <w:rPr>
          <w:szCs w:val="20"/>
        </w:rPr>
        <w:t>, the next choice</w:t>
      </w:r>
      <w:r w:rsidR="002730B3" w:rsidRPr="002730B3">
        <w:rPr>
          <w:szCs w:val="20"/>
        </w:rPr>
        <w:t xml:space="preserve"> could be between the two alternatives:</w:t>
      </w:r>
    </w:p>
    <w:p w:rsidR="002730B3" w:rsidRDefault="002730B3" w:rsidP="00644D0E">
      <w:pPr>
        <w:pStyle w:val="ListParagraph"/>
        <w:numPr>
          <w:ilvl w:val="1"/>
          <w:numId w:val="33"/>
        </w:numPr>
        <w:adjustRightInd/>
        <w:snapToGrid w:val="0"/>
        <w:spacing w:line="276" w:lineRule="auto"/>
        <w:ind w:firstLineChars="0"/>
        <w:jc w:val="both"/>
        <w:rPr>
          <w:szCs w:val="20"/>
        </w:rPr>
      </w:pPr>
      <w:r>
        <w:rPr>
          <w:szCs w:val="20"/>
        </w:rPr>
        <w:t>For a 20 MHz carrier, keep FFT as in LTE and change LTE sampling frequency</w:t>
      </w:r>
      <w:r w:rsidR="00D50911">
        <w:rPr>
          <w:szCs w:val="20"/>
        </w:rPr>
        <w:t xml:space="preserve"> f</w:t>
      </w:r>
      <w:r w:rsidR="00D50911" w:rsidRPr="00D50911">
        <w:rPr>
          <w:szCs w:val="20"/>
          <w:vertAlign w:val="subscript"/>
        </w:rPr>
        <w:t>s</w:t>
      </w:r>
    </w:p>
    <w:p w:rsidR="002730B3" w:rsidRDefault="002730B3" w:rsidP="00644D0E">
      <w:pPr>
        <w:pStyle w:val="ListParagraph"/>
        <w:numPr>
          <w:ilvl w:val="1"/>
          <w:numId w:val="33"/>
        </w:numPr>
        <w:adjustRightInd/>
        <w:snapToGrid w:val="0"/>
        <w:spacing w:line="276" w:lineRule="auto"/>
        <w:ind w:firstLineChars="0"/>
        <w:jc w:val="both"/>
        <w:rPr>
          <w:szCs w:val="20"/>
        </w:rPr>
      </w:pPr>
      <w:r>
        <w:rPr>
          <w:szCs w:val="20"/>
        </w:rPr>
        <w:t>For a 20 MHz carrier, keep LTE sampling frequency</w:t>
      </w:r>
      <w:r w:rsidR="00D50911">
        <w:rPr>
          <w:szCs w:val="20"/>
        </w:rPr>
        <w:t xml:space="preserve"> f</w:t>
      </w:r>
      <w:r w:rsidR="00D50911" w:rsidRPr="00D50911">
        <w:rPr>
          <w:szCs w:val="20"/>
          <w:vertAlign w:val="subscript"/>
        </w:rPr>
        <w:t>s</w:t>
      </w:r>
      <w:r>
        <w:rPr>
          <w:szCs w:val="20"/>
        </w:rPr>
        <w:t xml:space="preserve"> and change to mixed-radix DFT</w:t>
      </w:r>
      <w:r w:rsidR="00D50911">
        <w:rPr>
          <w:szCs w:val="20"/>
        </w:rPr>
        <w:t xml:space="preserve"> (as is used in LTE UL)</w:t>
      </w:r>
    </w:p>
    <w:p w:rsidR="005E1069" w:rsidRPr="00D50911" w:rsidRDefault="002730B3" w:rsidP="00644D0E">
      <w:pPr>
        <w:adjustRightInd/>
        <w:snapToGrid w:val="0"/>
        <w:spacing w:line="276" w:lineRule="auto"/>
        <w:jc w:val="both"/>
        <w:rPr>
          <w:szCs w:val="20"/>
        </w:rPr>
      </w:pPr>
      <w:r w:rsidRPr="00D50911">
        <w:rPr>
          <w:szCs w:val="20"/>
        </w:rPr>
        <w:t>Alt 2 is obtained if a) is chosen, whereas Alt 3 and Alt 4 are obtained if b) is chosen.</w:t>
      </w:r>
    </w:p>
    <w:p w:rsidR="00644D0E" w:rsidRDefault="00644D0E" w:rsidP="00644D0E">
      <w:pPr>
        <w:adjustRightInd/>
        <w:snapToGrid w:val="0"/>
        <w:spacing w:line="276" w:lineRule="auto"/>
        <w:jc w:val="both"/>
        <w:rPr>
          <w:szCs w:val="20"/>
        </w:rPr>
      </w:pPr>
    </w:p>
    <w:p w:rsidR="002730B3" w:rsidRDefault="002730B3" w:rsidP="00644D0E">
      <w:pPr>
        <w:adjustRightInd/>
        <w:snapToGrid w:val="0"/>
        <w:spacing w:line="276" w:lineRule="auto"/>
        <w:jc w:val="both"/>
        <w:rPr>
          <w:szCs w:val="20"/>
        </w:rPr>
      </w:pPr>
      <w:r>
        <w:rPr>
          <w:szCs w:val="20"/>
        </w:rPr>
        <w:t xml:space="preserve">Keeping </w:t>
      </w:r>
      <w:r w:rsidR="006B5FCB">
        <w:rPr>
          <w:szCs w:val="20"/>
        </w:rPr>
        <w:t xml:space="preserve">the LTE sampling frequency (e.g. for a 20 MHz carrier) could beneficial for multi-RAT implementation, for instance when multiple RATs shall be supported over a common fronthaul. </w:t>
      </w:r>
    </w:p>
    <w:p w:rsidR="00644D0E" w:rsidRDefault="00644D0E" w:rsidP="00644D0E">
      <w:pPr>
        <w:adjustRightInd/>
        <w:snapToGrid w:val="0"/>
        <w:spacing w:line="276" w:lineRule="auto"/>
        <w:jc w:val="both"/>
        <w:rPr>
          <w:szCs w:val="20"/>
        </w:rPr>
      </w:pPr>
    </w:p>
    <w:p w:rsidR="005E1069" w:rsidRDefault="005E1069" w:rsidP="00644D0E">
      <w:pPr>
        <w:adjustRightInd/>
        <w:snapToGrid w:val="0"/>
        <w:spacing w:line="276" w:lineRule="auto"/>
        <w:jc w:val="both"/>
        <w:rPr>
          <w:szCs w:val="20"/>
        </w:rPr>
      </w:pPr>
      <w:r>
        <w:rPr>
          <w:szCs w:val="20"/>
        </w:rPr>
        <w:t>An important difference between Alt 1N</w:t>
      </w:r>
      <w:r w:rsidR="00D50911">
        <w:rPr>
          <w:szCs w:val="20"/>
        </w:rPr>
        <w:t xml:space="preserve"> (LTE with NCP)</w:t>
      </w:r>
      <w:r>
        <w:rPr>
          <w:szCs w:val="20"/>
        </w:rPr>
        <w:t xml:space="preserve"> and Alt 1E (LTE</w:t>
      </w:r>
      <w:r w:rsidR="00D50911">
        <w:rPr>
          <w:szCs w:val="20"/>
        </w:rPr>
        <w:t xml:space="preserve"> with ECP</w:t>
      </w:r>
      <w:r>
        <w:rPr>
          <w:szCs w:val="20"/>
        </w:rPr>
        <w:t>) on one hand, and Alt 2, 3, 4 (uniform) are the time-domain properties, as illustrated in the figures below.</w:t>
      </w:r>
    </w:p>
    <w:p w:rsidR="005E1069" w:rsidRDefault="005E1069" w:rsidP="00D035BD">
      <w:pPr>
        <w:adjustRightInd/>
        <w:snapToGrid w:val="0"/>
        <w:spacing w:afterLines="50" w:line="276" w:lineRule="auto"/>
        <w:jc w:val="both"/>
        <w:rPr>
          <w:szCs w:val="20"/>
        </w:rPr>
      </w:pPr>
      <w:r w:rsidRPr="00E27FCA">
        <w:rPr>
          <w:noProof/>
          <w:szCs w:val="20"/>
        </w:rPr>
        <w:drawing>
          <wp:inline distT="0" distB="0" distL="0" distR="0">
            <wp:extent cx="5731510" cy="2447134"/>
            <wp:effectExtent l="0" t="0" r="2540" b="0"/>
            <wp:docPr id="4" name="Object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352585" cy="4419600"/>
                      <a:chOff x="-675185" y="-64532"/>
                      <a:chExt cx="10352585" cy="4419600"/>
                    </a:xfrm>
                  </a:grpSpPr>
                  <a:sp>
                    <a:nvSpPr>
                      <a:cNvPr id="11" name="Rectangle 10"/>
                      <a:cNvSpPr/>
                    </a:nvSpPr>
                    <a:spPr>
                      <a:xfrm>
                        <a:off x="-457200" y="914400"/>
                        <a:ext cx="152400" cy="304800"/>
                      </a:xfrm>
                      <a:prstGeom prst="rect">
                        <a:avLst/>
                      </a:prstGeom>
                      <a:solidFill>
                        <a:srgbClr val="C0000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9906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24384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38862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ectangle 14"/>
                      <a:cNvSpPr/>
                    </a:nvSpPr>
                    <a:spPr>
                      <a:xfrm>
                        <a:off x="53340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7818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8229600" y="914400"/>
                        <a:ext cx="76200" cy="304800"/>
                      </a:xfrm>
                      <a:prstGeom prst="rect">
                        <a:avLst/>
                      </a:prstGeom>
                      <a:solidFill>
                        <a:schemeClr val="accent1"/>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4572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ectangle 65"/>
                      <a:cNvSpPr/>
                    </a:nvSpPr>
                    <a:spPr>
                      <a:xfrm>
                        <a:off x="12192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ectangle 66"/>
                      <a:cNvSpPr/>
                    </a:nvSpPr>
                    <a:spPr>
                      <a:xfrm>
                        <a:off x="28956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45720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ectangle 68"/>
                      <a:cNvSpPr/>
                    </a:nvSpPr>
                    <a:spPr>
                      <a:xfrm>
                        <a:off x="62484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Rectangle 69"/>
                      <a:cNvSpPr/>
                    </a:nvSpPr>
                    <a:spPr>
                      <a:xfrm>
                        <a:off x="7924800" y="3299936"/>
                        <a:ext cx="381000" cy="304800"/>
                      </a:xfrm>
                      <a:prstGeom prst="rect">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4572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1</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9906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2</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4384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3</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862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4</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53340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5</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67818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6</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8229600" y="914400"/>
                        <a:ext cx="14478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7</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Straight Arrow Connector 18"/>
                      <a:cNvCxnSpPr/>
                    </a:nvCxnSpPr>
                    <a:spPr>
                      <a:xfrm>
                        <a:off x="-457200" y="609600"/>
                        <a:ext cx="1447800" cy="0"/>
                      </a:xfrm>
                      <a:prstGeom prst="straightConnector1">
                        <a:avLst/>
                      </a:prstGeom>
                      <a:ln w="22225">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381000" y="228600"/>
                        <a:ext cx="12572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T</a:t>
                          </a:r>
                          <a:r>
                            <a:rPr lang="sv-SE" baseline="-25000" dirty="0" smtClean="0"/>
                            <a:t>Symb_1N1</a:t>
                          </a:r>
                          <a:r>
                            <a:rPr lang="sv-SE" dirty="0" smtClean="0"/>
                            <a:t>/M</a:t>
                          </a:r>
                          <a:endParaRPr lang="en-GB" dirty="0"/>
                        </a:p>
                      </a:txBody>
                      <a:useSpRect/>
                    </a:txSp>
                  </a:sp>
                  <a:cxnSp>
                    <a:nvCxnSpPr>
                      <a:cNvPr id="21" name="Straight Arrow Connector 20"/>
                      <a:cNvCxnSpPr/>
                    </a:nvCxnSpPr>
                    <a:spPr>
                      <a:xfrm>
                        <a:off x="990600" y="609600"/>
                        <a:ext cx="1447800" cy="0"/>
                      </a:xfrm>
                      <a:prstGeom prst="straightConnector1">
                        <a:avLst/>
                      </a:prstGeom>
                      <a:ln w="22225">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2" name="TextBox 21"/>
                      <a:cNvSpPr txBox="1"/>
                    </a:nvSpPr>
                    <a:spPr>
                      <a:xfrm>
                        <a:off x="1066800" y="228600"/>
                        <a:ext cx="12572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T</a:t>
                          </a:r>
                          <a:r>
                            <a:rPr lang="sv-SE" baseline="-25000" dirty="0" smtClean="0"/>
                            <a:t>Symb_1N2</a:t>
                          </a:r>
                          <a:r>
                            <a:rPr lang="sv-SE" dirty="0" smtClean="0"/>
                            <a:t>/M</a:t>
                          </a:r>
                          <a:endParaRPr lang="en-GB" dirty="0"/>
                        </a:p>
                      </a:txBody>
                      <a:useSpRect/>
                    </a:txSp>
                  </a:sp>
                  <a:sp>
                    <a:nvSpPr>
                      <a:cNvPr id="25" name="TextBox 24"/>
                      <a:cNvSpPr txBox="1"/>
                    </a:nvSpPr>
                    <a:spPr>
                      <a:xfrm>
                        <a:off x="2590800" y="238780"/>
                        <a:ext cx="458780"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dirty="0" smtClean="0"/>
                            <a:t>...</a:t>
                          </a:r>
                          <a:endParaRPr lang="en-GB" sz="2800" dirty="0"/>
                        </a:p>
                      </a:txBody>
                      <a:useSpRect/>
                    </a:txSp>
                  </a:sp>
                  <a:sp>
                    <a:nvSpPr>
                      <a:cNvPr id="27" name="Rectangle 26"/>
                      <a:cNvSpPr/>
                    </a:nvSpPr>
                    <a:spPr>
                      <a:xfrm>
                        <a:off x="-4572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1</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2192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2</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28956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3</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45720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4</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2484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5</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7924800" y="3299936"/>
                        <a:ext cx="1676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6</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1" name="Straight Arrow Connector 70"/>
                      <a:cNvCxnSpPr/>
                    </a:nvCxnSpPr>
                    <a:spPr>
                      <a:xfrm>
                        <a:off x="-457200" y="2995136"/>
                        <a:ext cx="1676400" cy="0"/>
                      </a:xfrm>
                      <a:prstGeom prst="straightConnector1">
                        <a:avLst/>
                      </a:prstGeom>
                      <a:ln w="22225">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228600" y="2614136"/>
                        <a:ext cx="11546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T</a:t>
                          </a:r>
                          <a:r>
                            <a:rPr lang="sv-SE" baseline="-25000" dirty="0" smtClean="0"/>
                            <a:t>Symb_1E</a:t>
                          </a:r>
                          <a:r>
                            <a:rPr lang="sv-SE" dirty="0" smtClean="0"/>
                            <a:t>/M</a:t>
                          </a:r>
                          <a:endParaRPr lang="en-GB" dirty="0"/>
                        </a:p>
                      </a:txBody>
                      <a:useSpRect/>
                    </a:txSp>
                  </a:sp>
                  <a:cxnSp>
                    <a:nvCxnSpPr>
                      <a:cNvPr id="74" name="Straight Arrow Connector 73"/>
                      <a:cNvCxnSpPr/>
                    </a:nvCxnSpPr>
                    <a:spPr>
                      <a:xfrm>
                        <a:off x="-457200" y="1752600"/>
                        <a:ext cx="10134600" cy="0"/>
                      </a:xfrm>
                      <a:prstGeom prst="straightConnector1">
                        <a:avLst/>
                      </a:prstGeom>
                      <a:ln w="22225">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76" name="TextBox 75"/>
                      <a:cNvSpPr txBox="1"/>
                    </a:nvSpPr>
                    <a:spPr>
                      <a:xfrm>
                        <a:off x="3648349" y="1688068"/>
                        <a:ext cx="123142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0.5/M [ms]</a:t>
                          </a:r>
                          <a:endParaRPr lang="en-GB" dirty="0"/>
                        </a:p>
                      </a:txBody>
                      <a:useSpRect/>
                    </a:txSp>
                  </a:sp>
                  <a:cxnSp>
                    <a:nvCxnSpPr>
                      <a:cNvPr id="77" name="Straight Arrow Connector 76"/>
                      <a:cNvCxnSpPr/>
                    </a:nvCxnSpPr>
                    <a:spPr>
                      <a:xfrm>
                        <a:off x="-457200" y="4061936"/>
                        <a:ext cx="10058400" cy="0"/>
                      </a:xfrm>
                      <a:prstGeom prst="straightConnector1">
                        <a:avLst/>
                      </a:prstGeom>
                      <a:ln w="22225">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78" name="TextBox 77"/>
                      <a:cNvSpPr txBox="1"/>
                    </a:nvSpPr>
                    <a:spPr>
                      <a:xfrm>
                        <a:off x="3648349" y="3985736"/>
                        <a:ext cx="123142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0.5/M [ms]</a:t>
                          </a:r>
                          <a:endParaRPr lang="en-GB" dirty="0"/>
                        </a:p>
                      </a:txBody>
                      <a:useSpRect/>
                    </a:txSp>
                  </a:sp>
                  <a:sp>
                    <a:nvSpPr>
                      <a:cNvPr id="151" name="TextBox 150"/>
                      <a:cNvSpPr txBox="1"/>
                    </a:nvSpPr>
                    <a:spPr>
                      <a:xfrm>
                        <a:off x="1447800" y="2602468"/>
                        <a:ext cx="458780"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dirty="0" smtClean="0"/>
                            <a:t>...</a:t>
                          </a:r>
                          <a:endParaRPr lang="en-GB" sz="2800" dirty="0"/>
                        </a:p>
                      </a:txBody>
                      <a:useSpRect/>
                    </a:txSp>
                  </a:sp>
                  <a:sp>
                    <a:nvSpPr>
                      <a:cNvPr id="155" name="TextBox 154"/>
                      <a:cNvSpPr txBox="1"/>
                    </a:nvSpPr>
                    <a:spPr>
                      <a:xfrm>
                        <a:off x="-675185" y="1219200"/>
                        <a:ext cx="69762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dirty="0" smtClean="0"/>
                            <a:t>T</a:t>
                          </a:r>
                          <a:r>
                            <a:rPr lang="sv-SE" sz="1200" baseline="-25000" dirty="0" smtClean="0"/>
                            <a:t>NCP1 </a:t>
                          </a:r>
                          <a:r>
                            <a:rPr lang="sv-SE" sz="1200" dirty="0" smtClean="0"/>
                            <a:t>/M</a:t>
                          </a:r>
                          <a:endParaRPr lang="en-GB" sz="1200" dirty="0"/>
                        </a:p>
                      </a:txBody>
                      <a:useSpRect/>
                    </a:txSp>
                  </a:sp>
                  <a:sp>
                    <a:nvSpPr>
                      <a:cNvPr id="156" name="TextBox 155"/>
                      <a:cNvSpPr txBox="1"/>
                    </a:nvSpPr>
                    <a:spPr>
                      <a:xfrm>
                        <a:off x="762000" y="1219200"/>
                        <a:ext cx="69762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dirty="0" smtClean="0"/>
                            <a:t>T</a:t>
                          </a:r>
                          <a:r>
                            <a:rPr lang="sv-SE" sz="1200" baseline="-25000" dirty="0" smtClean="0"/>
                            <a:t>NCP2 </a:t>
                          </a:r>
                          <a:r>
                            <a:rPr lang="sv-SE" sz="1200" dirty="0" smtClean="0"/>
                            <a:t>/M</a:t>
                          </a:r>
                          <a:endParaRPr lang="en-GB" sz="1200" dirty="0"/>
                        </a:p>
                      </a:txBody>
                      <a:useSpRect/>
                    </a:txSp>
                  </a:sp>
                  <a:sp>
                    <a:nvSpPr>
                      <a:cNvPr id="159" name="TextBox 158"/>
                      <a:cNvSpPr txBox="1"/>
                    </a:nvSpPr>
                    <a:spPr>
                      <a:xfrm>
                        <a:off x="-525055" y="3620869"/>
                        <a:ext cx="62908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dirty="0" smtClean="0"/>
                            <a:t>T</a:t>
                          </a:r>
                          <a:r>
                            <a:rPr lang="sv-SE" sz="1200" baseline="-25000" dirty="0" smtClean="0"/>
                            <a:t>ECP </a:t>
                          </a:r>
                          <a:r>
                            <a:rPr lang="sv-SE" sz="1200" dirty="0" smtClean="0"/>
                            <a:t>/M</a:t>
                          </a:r>
                          <a:endParaRPr lang="en-GB" sz="1200" dirty="0"/>
                        </a:p>
                      </a:txBody>
                      <a:useSpRect/>
                    </a:txSp>
                  </a:sp>
                  <a:sp>
                    <a:nvSpPr>
                      <a:cNvPr id="162" name="TextBox 161"/>
                      <a:cNvSpPr txBox="1"/>
                    </a:nvSpPr>
                    <a:spPr>
                      <a:xfrm>
                        <a:off x="2658364" y="-64532"/>
                        <a:ext cx="248407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 </a:t>
                          </a:r>
                          <a:r>
                            <a:rPr lang="sv-SE" dirty="0" smtClean="0"/>
                            <a:t>Alt 1N (LTE with NCP)</a:t>
                          </a:r>
                          <a:endParaRPr lang="en-GB" dirty="0"/>
                        </a:p>
                      </a:txBody>
                      <a:useSpRect/>
                    </a:txSp>
                  </a:sp>
                  <a:sp>
                    <a:nvSpPr>
                      <a:cNvPr id="163" name="TextBox 162"/>
                      <a:cNvSpPr txBox="1"/>
                    </a:nvSpPr>
                    <a:spPr>
                      <a:xfrm>
                        <a:off x="2667000" y="2362200"/>
                        <a:ext cx="241886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(b) </a:t>
                          </a:r>
                          <a:r>
                            <a:rPr lang="sv-SE" dirty="0" smtClean="0"/>
                            <a:t>Alt 1E (LTE with ECP)</a:t>
                          </a:r>
                          <a:endParaRPr lang="en-GB" dirty="0"/>
                        </a:p>
                      </a:txBody>
                      <a:useSpRect/>
                    </a:txSp>
                  </a:sp>
                </lc:lockedCanvas>
              </a:graphicData>
            </a:graphic>
          </wp:inline>
        </w:drawing>
      </w:r>
    </w:p>
    <w:p w:rsidR="005E1069" w:rsidRPr="00405CF3" w:rsidRDefault="005E1069" w:rsidP="00405CF3">
      <w:pPr>
        <w:pStyle w:val="Caption"/>
        <w:snapToGrid w:val="0"/>
        <w:spacing w:before="0" w:after="0"/>
      </w:pPr>
      <w:r w:rsidRPr="00405CF3">
        <w:t xml:space="preserve">Figure </w:t>
      </w:r>
      <w:r w:rsidR="0035128A" w:rsidRPr="00405CF3">
        <w:fldChar w:fldCharType="begin"/>
      </w:r>
      <w:r w:rsidR="00F317AB" w:rsidRPr="00405CF3">
        <w:instrText xml:space="preserve"> SEQ Figure \* ARABIC </w:instrText>
      </w:r>
      <w:r w:rsidR="0035128A" w:rsidRPr="00405CF3">
        <w:fldChar w:fldCharType="separate"/>
      </w:r>
      <w:r w:rsidR="00290D4A" w:rsidRPr="00405CF3">
        <w:rPr>
          <w:noProof/>
        </w:rPr>
        <w:t>2</w:t>
      </w:r>
      <w:r w:rsidR="0035128A" w:rsidRPr="00405CF3">
        <w:fldChar w:fldCharType="end"/>
      </w:r>
      <w:r w:rsidRPr="00405CF3">
        <w:t xml:space="preserve"> The time domain structure of an NR subframe for Alt 1N in (a) and Alt 1E in (b), with example numbers of 7 and 6 (TBD) symbols per subframe. In Alt 1N, the first CP is slightly longer than the other CPs. The OFDM symbol duration, the CP duration and NR subframe duration, all scale down with the scaling factor M.</w:t>
      </w:r>
    </w:p>
    <w:p w:rsidR="005E1069" w:rsidRDefault="005E1069" w:rsidP="00644D0E">
      <w:pPr>
        <w:pStyle w:val="Caption"/>
        <w:jc w:val="center"/>
      </w:pPr>
      <w:r w:rsidRPr="00AB32BE">
        <w:rPr>
          <w:noProof/>
          <w:lang w:val="en-US" w:eastAsia="zh-CN"/>
        </w:rPr>
        <w:lastRenderedPageBreak/>
        <w:drawing>
          <wp:inline distT="0" distB="0" distL="0" distR="0">
            <wp:extent cx="2146300" cy="1231900"/>
            <wp:effectExtent l="0" t="0" r="0" b="0"/>
            <wp:docPr id="5"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19400" cy="1871484"/>
                      <a:chOff x="-685800" y="4365248"/>
                      <a:chExt cx="2819400" cy="1871484"/>
                    </a:xfrm>
                  </a:grpSpPr>
                  <a:sp>
                    <a:nvSpPr>
                      <a:cNvPr id="80" name="Rectangle 79"/>
                      <a:cNvSpPr/>
                    </a:nvSpPr>
                    <a:spPr>
                      <a:xfrm>
                        <a:off x="-457200" y="5040868"/>
                        <a:ext cx="152400" cy="304800"/>
                      </a:xfrm>
                      <a:prstGeom prst="rect">
                        <a:avLst/>
                      </a:prstGeom>
                      <a:solidFill>
                        <a:srgbClr val="FFC00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Rectangle 138"/>
                      <a:cNvSpPr/>
                    </a:nvSpPr>
                    <a:spPr>
                      <a:xfrm>
                        <a:off x="838200" y="5040868"/>
                        <a:ext cx="152400" cy="304800"/>
                      </a:xfrm>
                      <a:prstGeom prst="rect">
                        <a:avLst/>
                      </a:prstGeom>
                      <a:solidFill>
                        <a:srgbClr val="FFC00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457200" y="5040868"/>
                        <a:ext cx="1295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1</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2" name="Straight Arrow Connector 91"/>
                      <a:cNvCxnSpPr/>
                    </a:nvCxnSpPr>
                    <a:spPr>
                      <a:xfrm flipV="1">
                        <a:off x="-457200" y="4736068"/>
                        <a:ext cx="1295400" cy="11668"/>
                      </a:xfrm>
                      <a:prstGeom prst="straightConnector1">
                        <a:avLst/>
                      </a:prstGeom>
                      <a:ln w="22225">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a:off x="-503168" y="4366736"/>
                        <a:ext cx="14977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T</a:t>
                          </a:r>
                          <a:r>
                            <a:rPr lang="sv-SE" baseline="-25000" dirty="0" smtClean="0"/>
                            <a:t>Symb_uniform</a:t>
                          </a:r>
                          <a:r>
                            <a:rPr lang="sv-SE" dirty="0" smtClean="0"/>
                            <a:t>/M</a:t>
                          </a:r>
                          <a:endParaRPr lang="en-GB" dirty="0"/>
                        </a:p>
                      </a:txBody>
                      <a:useSpRect/>
                    </a:txSp>
                  </a:sp>
                  <a:cxnSp>
                    <a:nvCxnSpPr>
                      <a:cNvPr id="94" name="Straight Arrow Connector 93"/>
                      <a:cNvCxnSpPr/>
                    </a:nvCxnSpPr>
                    <a:spPr>
                      <a:xfrm>
                        <a:off x="-457200" y="5791200"/>
                        <a:ext cx="2590800" cy="0"/>
                      </a:xfrm>
                      <a:prstGeom prst="straightConnector1">
                        <a:avLst/>
                      </a:prstGeom>
                      <a:ln w="22225">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95" name="TextBox 94"/>
                      <a:cNvSpPr txBox="1"/>
                    </a:nvSpPr>
                    <a:spPr>
                      <a:xfrm>
                        <a:off x="-17666" y="5867400"/>
                        <a:ext cx="14654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0.125/M </a:t>
                          </a:r>
                          <a:r>
                            <a:rPr lang="sv-SE" dirty="0" smtClean="0"/>
                            <a:t>[ms]</a:t>
                          </a:r>
                          <a:endParaRPr lang="en-GB" dirty="0"/>
                        </a:p>
                      </a:txBody>
                      <a:useSpRect/>
                    </a:txSp>
                  </a:sp>
                  <a:sp>
                    <a:nvSpPr>
                      <a:cNvPr id="125" name="Rectangle 124"/>
                      <a:cNvSpPr/>
                    </a:nvSpPr>
                    <a:spPr>
                      <a:xfrm>
                        <a:off x="838200" y="5040868"/>
                        <a:ext cx="1295400" cy="304800"/>
                      </a:xfrm>
                      <a:prstGeom prst="rect">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solidFill>
                                <a:schemeClr val="tx1"/>
                              </a:solidFill>
                            </a:rPr>
                            <a:t>2</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TextBox 152"/>
                      <a:cNvSpPr txBox="1"/>
                    </a:nvSpPr>
                    <a:spPr>
                      <a:xfrm>
                        <a:off x="1143000" y="4365248"/>
                        <a:ext cx="458780"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dirty="0" smtClean="0"/>
                            <a:t>...</a:t>
                          </a:r>
                          <a:endParaRPr lang="en-GB" sz="2800" dirty="0"/>
                        </a:p>
                      </a:txBody>
                      <a:useSpRect/>
                    </a:txSp>
                  </a:sp>
                  <a:sp>
                    <a:nvSpPr>
                      <a:cNvPr id="160" name="TextBox 159"/>
                      <a:cNvSpPr txBox="1"/>
                    </a:nvSpPr>
                    <a:spPr>
                      <a:xfrm>
                        <a:off x="-685800" y="5297269"/>
                        <a:ext cx="68166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dirty="0" smtClean="0"/>
                            <a:t>T</a:t>
                          </a:r>
                          <a:r>
                            <a:rPr lang="sv-SE" sz="1200" baseline="-25000" dirty="0" smtClean="0"/>
                            <a:t>CP_X </a:t>
                          </a:r>
                          <a:r>
                            <a:rPr lang="sv-SE" sz="1200" dirty="0" smtClean="0"/>
                            <a:t>/M</a:t>
                          </a:r>
                          <a:endParaRPr lang="en-GB" sz="1200" dirty="0"/>
                        </a:p>
                      </a:txBody>
                      <a:useSpRect/>
                    </a:txSp>
                  </a:sp>
                </lc:lockedCanvas>
              </a:graphicData>
            </a:graphic>
          </wp:inline>
        </w:drawing>
      </w:r>
    </w:p>
    <w:p w:rsidR="005E1069" w:rsidRPr="00405CF3" w:rsidRDefault="005E1069" w:rsidP="00405CF3">
      <w:pPr>
        <w:pStyle w:val="Caption"/>
        <w:snapToGrid w:val="0"/>
        <w:spacing w:before="0" w:after="0"/>
      </w:pPr>
      <w:r w:rsidRPr="00405CF3">
        <w:t xml:space="preserve">Figure </w:t>
      </w:r>
      <w:r w:rsidR="0035128A" w:rsidRPr="00405CF3">
        <w:fldChar w:fldCharType="begin"/>
      </w:r>
      <w:r w:rsidR="00F317AB" w:rsidRPr="00405CF3">
        <w:instrText xml:space="preserve"> SEQ Figure \* ARABIC </w:instrText>
      </w:r>
      <w:r w:rsidR="0035128A" w:rsidRPr="00405CF3">
        <w:fldChar w:fldCharType="separate"/>
      </w:r>
      <w:r w:rsidR="00290D4A" w:rsidRPr="00405CF3">
        <w:rPr>
          <w:noProof/>
        </w:rPr>
        <w:t>3</w:t>
      </w:r>
      <w:r w:rsidR="0035128A" w:rsidRPr="00405CF3">
        <w:fldChar w:fldCharType="end"/>
      </w:r>
      <w:r w:rsidRPr="00405CF3">
        <w:t xml:space="preserve"> The time domain structure of an NR subframe for Alt 2, 3 and 4, with an example number of 2 (TBD) symbols per subframe. All three candidates share the same OFDM symbol duration T</w:t>
      </w:r>
      <w:r w:rsidRPr="00405CF3">
        <w:rPr>
          <w:vertAlign w:val="subscript"/>
        </w:rPr>
        <w:t>Symb_uniform</w:t>
      </w:r>
      <w:r w:rsidRPr="00405CF3">
        <w:t>. The only difference in the time domain structure between Alt 2, 3 and 4 are different distributions between CP (indicated by T</w:t>
      </w:r>
      <w:r w:rsidRPr="00405CF3">
        <w:rPr>
          <w:vertAlign w:val="subscript"/>
        </w:rPr>
        <w:t>CP_X</w:t>
      </w:r>
      <w:r w:rsidRPr="00405CF3">
        <w:t>) and useful symbol. The OFDM symbol duration, the CP duration and NR subframe duration, all scale down with the scaling factor M. It is important to note that multiple subframes can be aggregated to larger scheduling frames, for instance in order to reduce control overhead.</w:t>
      </w:r>
    </w:p>
    <w:p w:rsidR="0050758D" w:rsidRDefault="0050758D" w:rsidP="00D035BD">
      <w:pPr>
        <w:adjustRightInd/>
        <w:snapToGrid w:val="0"/>
        <w:spacing w:afterLines="50" w:line="276" w:lineRule="auto"/>
        <w:jc w:val="both"/>
        <w:rPr>
          <w:szCs w:val="20"/>
        </w:rPr>
      </w:pPr>
    </w:p>
    <w:p w:rsidR="005E1069" w:rsidRDefault="005E1069" w:rsidP="00D035BD">
      <w:pPr>
        <w:adjustRightInd/>
        <w:snapToGrid w:val="0"/>
        <w:spacing w:afterLines="50" w:line="276" w:lineRule="auto"/>
        <w:jc w:val="both"/>
        <w:rPr>
          <w:szCs w:val="20"/>
        </w:rPr>
      </w:pPr>
      <w:r>
        <w:rPr>
          <w:szCs w:val="20"/>
        </w:rPr>
        <w:t>The following table summarizes the numerology candidates.</w:t>
      </w:r>
    </w:p>
    <w:p w:rsidR="0050758D" w:rsidRPr="00405CF3" w:rsidRDefault="0050758D" w:rsidP="00405CF3">
      <w:pPr>
        <w:pStyle w:val="Caption"/>
        <w:snapToGrid w:val="0"/>
        <w:spacing w:before="0" w:after="0"/>
      </w:pPr>
      <w:r w:rsidRPr="00405CF3">
        <w:t xml:space="preserve">Table </w:t>
      </w:r>
      <w:r w:rsidR="0035128A" w:rsidRPr="00405CF3">
        <w:fldChar w:fldCharType="begin"/>
      </w:r>
      <w:r w:rsidR="00F317AB" w:rsidRPr="00405CF3">
        <w:instrText xml:space="preserve"> SEQ Table \* ARABIC </w:instrText>
      </w:r>
      <w:r w:rsidR="0035128A" w:rsidRPr="00405CF3">
        <w:fldChar w:fldCharType="separate"/>
      </w:r>
      <w:r w:rsidR="00290D4A" w:rsidRPr="00405CF3">
        <w:rPr>
          <w:noProof/>
        </w:rPr>
        <w:t>1</w:t>
      </w:r>
      <w:r w:rsidR="0035128A" w:rsidRPr="00405CF3">
        <w:fldChar w:fldCharType="end"/>
      </w:r>
      <w:r w:rsidRPr="00405CF3">
        <w:t xml:space="preserve"> – A parameter summary of the compared candidates for the example 20 MHz component carrier bandwidth. Only the sampling frequency and system DFT size would scale with the component carrier bandwidth</w:t>
      </w:r>
      <w:r w:rsidRPr="00405CF3">
        <w:rPr>
          <w:rFonts w:hint="eastAsia"/>
          <w:lang w:eastAsia="zh-CN"/>
        </w:rPr>
        <w:t xml:space="preserve"> </w:t>
      </w:r>
      <w:r w:rsidRPr="00405CF3">
        <w:rPr>
          <w:lang w:eastAsia="zh-CN"/>
        </w:rPr>
        <w:t>if t</w:t>
      </w:r>
      <w:r w:rsidRPr="00405CF3">
        <w:rPr>
          <w:rFonts w:hint="eastAsia"/>
          <w:lang w:eastAsia="zh-CN"/>
        </w:rPr>
        <w:t xml:space="preserve">he subcarrier spacing is </w:t>
      </w:r>
      <w:r w:rsidRPr="00405CF3">
        <w:rPr>
          <w:lang w:eastAsia="zh-CN"/>
        </w:rPr>
        <w:t>not changed</w:t>
      </w:r>
      <w:r w:rsidRPr="00405CF3">
        <w:t>. The system DFT size does not need to scale with component carrier bandwidth if the subcarrier spacing is scaled. The parameters marked with * are example values. Final values are TBD. The parameters marked with ** are implementation dependent. Typical values are shown. It is important to note that multiple subframes can be aggregated to larger scheduling frames, for instance in order to reduce control overhead.</w:t>
      </w:r>
    </w:p>
    <w:tbl>
      <w:tblPr>
        <w:tblStyle w:val="TableGrid"/>
        <w:tblW w:w="5000" w:type="pct"/>
        <w:tblLook w:val="04A0"/>
      </w:tblPr>
      <w:tblGrid>
        <w:gridCol w:w="1020"/>
        <w:gridCol w:w="439"/>
        <w:gridCol w:w="15"/>
        <w:gridCol w:w="539"/>
        <w:gridCol w:w="163"/>
        <w:gridCol w:w="486"/>
        <w:gridCol w:w="537"/>
        <w:gridCol w:w="537"/>
        <w:gridCol w:w="576"/>
        <w:gridCol w:w="469"/>
        <w:gridCol w:w="44"/>
        <w:gridCol w:w="462"/>
        <w:gridCol w:w="7"/>
        <w:gridCol w:w="38"/>
        <w:gridCol w:w="29"/>
        <w:gridCol w:w="535"/>
        <w:gridCol w:w="482"/>
        <w:gridCol w:w="154"/>
        <w:gridCol w:w="416"/>
        <w:gridCol w:w="603"/>
        <w:gridCol w:w="484"/>
        <w:gridCol w:w="66"/>
        <w:gridCol w:w="469"/>
        <w:gridCol w:w="64"/>
        <w:gridCol w:w="528"/>
      </w:tblGrid>
      <w:tr w:rsidR="005E1069" w:rsidRPr="006D2B51" w:rsidTr="00401E16">
        <w:tc>
          <w:tcPr>
            <w:tcW w:w="557" w:type="pct"/>
            <w:vMerge w:val="restart"/>
            <w:tcMar>
              <w:left w:w="28" w:type="dxa"/>
              <w:right w:w="28" w:type="dxa"/>
            </w:tcMar>
          </w:tcPr>
          <w:p w:rsidR="005E1069" w:rsidRDefault="005E1069" w:rsidP="00D035BD">
            <w:pPr>
              <w:adjustRightInd/>
              <w:snapToGrid w:val="0"/>
              <w:spacing w:afterLines="50" w:line="276" w:lineRule="auto"/>
              <w:jc w:val="center"/>
              <w:rPr>
                <w:sz w:val="18"/>
                <w:szCs w:val="20"/>
              </w:rPr>
            </w:pPr>
          </w:p>
        </w:tc>
        <w:tc>
          <w:tcPr>
            <w:tcW w:w="4443" w:type="pct"/>
            <w:gridSpan w:val="24"/>
          </w:tcPr>
          <w:p w:rsidR="005E1069" w:rsidRDefault="005E1069" w:rsidP="00D035BD">
            <w:pPr>
              <w:adjustRightInd/>
              <w:snapToGrid w:val="0"/>
              <w:spacing w:afterLines="50" w:line="276" w:lineRule="auto"/>
              <w:jc w:val="center"/>
              <w:rPr>
                <w:sz w:val="18"/>
                <w:szCs w:val="20"/>
              </w:rPr>
            </w:pPr>
            <w:r w:rsidRPr="00BF5EEB">
              <w:rPr>
                <w:sz w:val="24"/>
                <w:szCs w:val="20"/>
              </w:rPr>
              <w:t>ZTE</w:t>
            </w:r>
          </w:p>
        </w:tc>
      </w:tr>
      <w:tr w:rsidR="005E1069" w:rsidRPr="006D2B51" w:rsidTr="00401E16">
        <w:tc>
          <w:tcPr>
            <w:tcW w:w="557" w:type="pct"/>
            <w:vMerge/>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8"/>
                <w:szCs w:val="20"/>
              </w:rPr>
            </w:pPr>
          </w:p>
        </w:tc>
        <w:tc>
          <w:tcPr>
            <w:tcW w:w="896" w:type="pct"/>
            <w:gridSpan w:val="5"/>
            <w:tcBorders>
              <w:top w:val="single" w:sz="12" w:space="0" w:color="000000" w:themeColor="text1"/>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Cs w:val="20"/>
              </w:rPr>
            </w:pPr>
            <w:r w:rsidRPr="009A11BB">
              <w:rPr>
                <w:szCs w:val="20"/>
              </w:rPr>
              <w:t>Alt 1N (NCP)</w:t>
            </w:r>
          </w:p>
        </w:tc>
        <w:tc>
          <w:tcPr>
            <w:tcW w:w="900" w:type="pct"/>
            <w:gridSpan w:val="3"/>
            <w:tcBorders>
              <w:top w:val="single" w:sz="12" w:space="0" w:color="000000" w:themeColor="text1"/>
              <w:right w:val="single" w:sz="12" w:space="0" w:color="000000" w:themeColor="text1"/>
            </w:tcBorders>
          </w:tcPr>
          <w:p w:rsidR="005E1069" w:rsidRDefault="005E1069" w:rsidP="00D035BD">
            <w:pPr>
              <w:adjustRightInd/>
              <w:snapToGrid w:val="0"/>
              <w:spacing w:afterLines="50" w:line="276" w:lineRule="auto"/>
              <w:jc w:val="center"/>
              <w:rPr>
                <w:caps/>
                <w:szCs w:val="20"/>
              </w:rPr>
            </w:pPr>
            <w:r w:rsidRPr="009A11BB">
              <w:rPr>
                <w:szCs w:val="20"/>
              </w:rPr>
              <w:t>Alt 1E (ECP)</w:t>
            </w:r>
          </w:p>
        </w:tc>
        <w:tc>
          <w:tcPr>
            <w:tcW w:w="864" w:type="pct"/>
            <w:gridSpan w:val="7"/>
            <w:tcBorders>
              <w:top w:val="single" w:sz="12" w:space="0" w:color="000000" w:themeColor="text1"/>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Cs w:val="20"/>
              </w:rPr>
            </w:pPr>
            <w:r w:rsidRPr="009A11BB">
              <w:rPr>
                <w:szCs w:val="20"/>
              </w:rPr>
              <w:t>Alt 2</w:t>
            </w:r>
          </w:p>
        </w:tc>
        <w:tc>
          <w:tcPr>
            <w:tcW w:w="903" w:type="pct"/>
            <w:gridSpan w:val="4"/>
            <w:tcBorders>
              <w:top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Cs w:val="20"/>
              </w:rPr>
            </w:pPr>
            <w:r w:rsidRPr="009A11BB">
              <w:rPr>
                <w:szCs w:val="20"/>
              </w:rPr>
              <w:t>Alt 3</w:t>
            </w:r>
          </w:p>
        </w:tc>
        <w:tc>
          <w:tcPr>
            <w:tcW w:w="879" w:type="pct"/>
            <w:gridSpan w:val="5"/>
            <w:tcBorders>
              <w:top w:val="single" w:sz="12" w:space="0" w:color="000000" w:themeColor="text1"/>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Cs w:val="20"/>
              </w:rPr>
            </w:pPr>
            <w:r w:rsidRPr="009A11BB">
              <w:rPr>
                <w:szCs w:val="20"/>
              </w:rPr>
              <w:t>Alt 4</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Scaling factor (M)</w:t>
            </w:r>
          </w:p>
        </w:tc>
        <w:tc>
          <w:tcPr>
            <w:tcW w:w="248"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w:t>
            </w:r>
          </w:p>
        </w:tc>
        <w:tc>
          <w:tcPr>
            <w:tcW w:w="383"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w:t>
            </w:r>
          </w:p>
        </w:tc>
        <w:tc>
          <w:tcPr>
            <w:tcW w:w="265"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4</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1</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2</w:t>
            </w:r>
          </w:p>
        </w:tc>
        <w:tc>
          <w:tcPr>
            <w:tcW w:w="314" w:type="pct"/>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4</w:t>
            </w:r>
          </w:p>
        </w:tc>
        <w:tc>
          <w:tcPr>
            <w:tcW w:w="280"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w:t>
            </w:r>
          </w:p>
        </w:tc>
        <w:tc>
          <w:tcPr>
            <w:tcW w:w="277" w:type="pct"/>
            <w:gridSpan w:val="3"/>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w:t>
            </w:r>
          </w:p>
        </w:tc>
        <w:tc>
          <w:tcPr>
            <w:tcW w:w="308"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4</w:t>
            </w:r>
          </w:p>
        </w:tc>
        <w:tc>
          <w:tcPr>
            <w:tcW w:w="347"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w:t>
            </w:r>
          </w:p>
        </w:tc>
        <w:tc>
          <w:tcPr>
            <w:tcW w:w="227"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w:t>
            </w:r>
          </w:p>
        </w:tc>
        <w:tc>
          <w:tcPr>
            <w:tcW w:w="329"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4</w:t>
            </w:r>
          </w:p>
        </w:tc>
        <w:tc>
          <w:tcPr>
            <w:tcW w:w="300"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w:t>
            </w:r>
          </w:p>
        </w:tc>
        <w:tc>
          <w:tcPr>
            <w:tcW w:w="291"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w:t>
            </w:r>
          </w:p>
        </w:tc>
        <w:tc>
          <w:tcPr>
            <w:tcW w:w="288" w:type="pct"/>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4</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Subcarrier spacing (kHz)</w:t>
            </w:r>
          </w:p>
        </w:tc>
        <w:tc>
          <w:tcPr>
            <w:tcW w:w="248"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15</w:t>
            </w:r>
          </w:p>
        </w:tc>
        <w:tc>
          <w:tcPr>
            <w:tcW w:w="383"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30</w:t>
            </w:r>
          </w:p>
        </w:tc>
        <w:tc>
          <w:tcPr>
            <w:tcW w:w="265"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60</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15</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30</w:t>
            </w:r>
          </w:p>
        </w:tc>
        <w:tc>
          <w:tcPr>
            <w:tcW w:w="314" w:type="pct"/>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60</w:t>
            </w:r>
          </w:p>
        </w:tc>
        <w:tc>
          <w:tcPr>
            <w:tcW w:w="280"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17.5</w:t>
            </w:r>
          </w:p>
        </w:tc>
        <w:tc>
          <w:tcPr>
            <w:tcW w:w="277" w:type="pct"/>
            <w:gridSpan w:val="3"/>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35</w:t>
            </w:r>
          </w:p>
        </w:tc>
        <w:tc>
          <w:tcPr>
            <w:tcW w:w="308"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70</w:t>
            </w:r>
          </w:p>
        </w:tc>
        <w:tc>
          <w:tcPr>
            <w:tcW w:w="347"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17.07</w:t>
            </w:r>
          </w:p>
        </w:tc>
        <w:tc>
          <w:tcPr>
            <w:tcW w:w="227"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34.13</w:t>
            </w:r>
          </w:p>
        </w:tc>
        <w:tc>
          <w:tcPr>
            <w:tcW w:w="329"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68.27</w:t>
            </w:r>
          </w:p>
        </w:tc>
        <w:tc>
          <w:tcPr>
            <w:tcW w:w="300"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21.33</w:t>
            </w:r>
          </w:p>
        </w:tc>
        <w:tc>
          <w:tcPr>
            <w:tcW w:w="291"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42.67</w:t>
            </w:r>
          </w:p>
        </w:tc>
        <w:tc>
          <w:tcPr>
            <w:tcW w:w="288" w:type="pct"/>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85.33</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Component carrier bandwidth (MHz)</w:t>
            </w:r>
          </w:p>
        </w:tc>
        <w:tc>
          <w:tcPr>
            <w:tcW w:w="896" w:type="pct"/>
            <w:gridSpan w:val="5"/>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w:t>
            </w:r>
          </w:p>
        </w:tc>
        <w:tc>
          <w:tcPr>
            <w:tcW w:w="900" w:type="pct"/>
            <w:gridSpan w:val="3"/>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20</w:t>
            </w:r>
          </w:p>
        </w:tc>
        <w:tc>
          <w:tcPr>
            <w:tcW w:w="864" w:type="pct"/>
            <w:gridSpan w:val="7"/>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w:t>
            </w:r>
          </w:p>
        </w:tc>
        <w:tc>
          <w:tcPr>
            <w:tcW w:w="903" w:type="pct"/>
            <w:gridSpan w:val="4"/>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w:t>
            </w:r>
          </w:p>
        </w:tc>
        <w:tc>
          <w:tcPr>
            <w:tcW w:w="879" w:type="pct"/>
            <w:gridSpan w:val="5"/>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OFDM symbol duration (usec)</w:t>
            </w:r>
          </w:p>
        </w:tc>
        <w:tc>
          <w:tcPr>
            <w:tcW w:w="240" w:type="pct"/>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 xml:space="preserve">71.9 / 71.4 </w:t>
            </w:r>
          </w:p>
        </w:tc>
        <w:tc>
          <w:tcPr>
            <w:tcW w:w="391" w:type="pct"/>
            <w:gridSpan w:val="3"/>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 xml:space="preserve">35.9 / 35.7 </w:t>
            </w:r>
          </w:p>
        </w:tc>
        <w:tc>
          <w:tcPr>
            <w:tcW w:w="265"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 xml:space="preserve">18.0 / 17.8 </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83.3</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41.7</w:t>
            </w:r>
          </w:p>
        </w:tc>
        <w:tc>
          <w:tcPr>
            <w:tcW w:w="314" w:type="pct"/>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20.8</w:t>
            </w:r>
          </w:p>
        </w:tc>
        <w:tc>
          <w:tcPr>
            <w:tcW w:w="280"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62.5</w:t>
            </w:r>
          </w:p>
        </w:tc>
        <w:tc>
          <w:tcPr>
            <w:tcW w:w="293" w:type="pct"/>
            <w:gridSpan w:val="4"/>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31.25</w:t>
            </w:r>
          </w:p>
        </w:tc>
        <w:tc>
          <w:tcPr>
            <w:tcW w:w="292"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15.625</w:t>
            </w:r>
          </w:p>
        </w:tc>
        <w:tc>
          <w:tcPr>
            <w:tcW w:w="263"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62.5</w:t>
            </w:r>
          </w:p>
        </w:tc>
        <w:tc>
          <w:tcPr>
            <w:tcW w:w="311"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31.25</w:t>
            </w:r>
          </w:p>
        </w:tc>
        <w:tc>
          <w:tcPr>
            <w:tcW w:w="329"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15.625</w:t>
            </w:r>
          </w:p>
        </w:tc>
        <w:tc>
          <w:tcPr>
            <w:tcW w:w="264"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62.5</w:t>
            </w:r>
          </w:p>
        </w:tc>
        <w:tc>
          <w:tcPr>
            <w:tcW w:w="292"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31.25</w:t>
            </w:r>
          </w:p>
        </w:tc>
        <w:tc>
          <w:tcPr>
            <w:tcW w:w="323" w:type="pct"/>
            <w:gridSpan w:val="2"/>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15.625</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CP duration (usec)</w:t>
            </w:r>
          </w:p>
        </w:tc>
        <w:tc>
          <w:tcPr>
            <w:tcW w:w="248"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5.2 / 4.7</w:t>
            </w:r>
          </w:p>
        </w:tc>
        <w:tc>
          <w:tcPr>
            <w:tcW w:w="383" w:type="pct"/>
            <w:gridSpan w:val="2"/>
          </w:tcPr>
          <w:p w:rsidR="005E1069" w:rsidRDefault="005E1069" w:rsidP="00D035BD">
            <w:pPr>
              <w:adjustRightInd/>
              <w:snapToGrid w:val="0"/>
              <w:spacing w:afterLines="50" w:line="276" w:lineRule="auto"/>
              <w:jc w:val="center"/>
              <w:rPr>
                <w:sz w:val="16"/>
                <w:szCs w:val="20"/>
              </w:rPr>
            </w:pPr>
            <w:r>
              <w:rPr>
                <w:sz w:val="16"/>
                <w:szCs w:val="20"/>
              </w:rPr>
              <w:t>2.6 / 2.3</w:t>
            </w:r>
          </w:p>
        </w:tc>
        <w:tc>
          <w:tcPr>
            <w:tcW w:w="265" w:type="pct"/>
          </w:tcPr>
          <w:p w:rsidR="005E1069" w:rsidRDefault="005E1069" w:rsidP="00D035BD">
            <w:pPr>
              <w:adjustRightInd/>
              <w:snapToGrid w:val="0"/>
              <w:spacing w:afterLines="50" w:line="276" w:lineRule="auto"/>
              <w:jc w:val="center"/>
              <w:rPr>
                <w:sz w:val="16"/>
                <w:szCs w:val="20"/>
              </w:rPr>
            </w:pPr>
            <w:r>
              <w:rPr>
                <w:sz w:val="16"/>
                <w:szCs w:val="20"/>
              </w:rPr>
              <w:t>1.3 / 1.2</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16.7</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8.3</w:t>
            </w:r>
          </w:p>
        </w:tc>
        <w:tc>
          <w:tcPr>
            <w:tcW w:w="314" w:type="pct"/>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4.2</w:t>
            </w:r>
          </w:p>
        </w:tc>
        <w:tc>
          <w:tcPr>
            <w:tcW w:w="280" w:type="pct"/>
            <w:gridSpan w:val="2"/>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5.4</w:t>
            </w:r>
          </w:p>
        </w:tc>
        <w:tc>
          <w:tcPr>
            <w:tcW w:w="293" w:type="pct"/>
            <w:gridSpan w:val="4"/>
          </w:tcPr>
          <w:p w:rsidR="005E1069" w:rsidRDefault="005E1069" w:rsidP="00D035BD">
            <w:pPr>
              <w:adjustRightInd/>
              <w:snapToGrid w:val="0"/>
              <w:spacing w:afterLines="50" w:line="276" w:lineRule="auto"/>
              <w:jc w:val="center"/>
              <w:rPr>
                <w:sz w:val="16"/>
                <w:szCs w:val="20"/>
              </w:rPr>
            </w:pPr>
            <w:r>
              <w:rPr>
                <w:sz w:val="16"/>
                <w:szCs w:val="20"/>
              </w:rPr>
              <w:t>2.7</w:t>
            </w:r>
          </w:p>
        </w:tc>
        <w:tc>
          <w:tcPr>
            <w:tcW w:w="292" w:type="pct"/>
          </w:tcPr>
          <w:p w:rsidR="005E1069" w:rsidRDefault="005E1069" w:rsidP="00D035BD">
            <w:pPr>
              <w:adjustRightInd/>
              <w:snapToGrid w:val="0"/>
              <w:spacing w:afterLines="50" w:line="276" w:lineRule="auto"/>
              <w:jc w:val="center"/>
              <w:rPr>
                <w:sz w:val="16"/>
                <w:szCs w:val="20"/>
              </w:rPr>
            </w:pPr>
            <w:r>
              <w:rPr>
                <w:sz w:val="16"/>
                <w:szCs w:val="20"/>
              </w:rPr>
              <w:t>1.3</w:t>
            </w:r>
          </w:p>
        </w:tc>
        <w:tc>
          <w:tcPr>
            <w:tcW w:w="263"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3.9</w:t>
            </w:r>
          </w:p>
        </w:tc>
        <w:tc>
          <w:tcPr>
            <w:tcW w:w="311" w:type="pct"/>
            <w:gridSpan w:val="2"/>
          </w:tcPr>
          <w:p w:rsidR="005E1069" w:rsidRDefault="005E1069" w:rsidP="00D035BD">
            <w:pPr>
              <w:adjustRightInd/>
              <w:snapToGrid w:val="0"/>
              <w:spacing w:afterLines="50" w:line="276" w:lineRule="auto"/>
              <w:jc w:val="center"/>
              <w:rPr>
                <w:sz w:val="16"/>
                <w:szCs w:val="20"/>
              </w:rPr>
            </w:pPr>
            <w:r>
              <w:rPr>
                <w:sz w:val="16"/>
                <w:szCs w:val="20"/>
              </w:rPr>
              <w:t>2.0</w:t>
            </w:r>
          </w:p>
        </w:tc>
        <w:tc>
          <w:tcPr>
            <w:tcW w:w="329" w:type="pct"/>
          </w:tcPr>
          <w:p w:rsidR="005E1069" w:rsidRDefault="005E1069" w:rsidP="00D035BD">
            <w:pPr>
              <w:adjustRightInd/>
              <w:snapToGrid w:val="0"/>
              <w:spacing w:afterLines="50" w:line="276" w:lineRule="auto"/>
              <w:jc w:val="center"/>
              <w:rPr>
                <w:sz w:val="16"/>
                <w:szCs w:val="20"/>
              </w:rPr>
            </w:pPr>
            <w:r>
              <w:rPr>
                <w:sz w:val="16"/>
                <w:szCs w:val="20"/>
              </w:rPr>
              <w:t>1.0</w:t>
            </w:r>
          </w:p>
        </w:tc>
        <w:tc>
          <w:tcPr>
            <w:tcW w:w="264" w:type="pct"/>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15.6</w:t>
            </w:r>
          </w:p>
        </w:tc>
        <w:tc>
          <w:tcPr>
            <w:tcW w:w="292" w:type="pct"/>
            <w:gridSpan w:val="2"/>
          </w:tcPr>
          <w:p w:rsidR="005E1069" w:rsidRDefault="005E1069" w:rsidP="00D035BD">
            <w:pPr>
              <w:adjustRightInd/>
              <w:snapToGrid w:val="0"/>
              <w:spacing w:afterLines="50" w:line="276" w:lineRule="auto"/>
              <w:jc w:val="center"/>
              <w:rPr>
                <w:sz w:val="16"/>
                <w:szCs w:val="20"/>
              </w:rPr>
            </w:pPr>
            <w:r>
              <w:rPr>
                <w:sz w:val="16"/>
                <w:szCs w:val="20"/>
              </w:rPr>
              <w:t>7.8</w:t>
            </w:r>
          </w:p>
        </w:tc>
        <w:tc>
          <w:tcPr>
            <w:tcW w:w="323" w:type="pct"/>
            <w:gridSpan w:val="2"/>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3.9</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CP overhead (%)</w:t>
            </w:r>
          </w:p>
        </w:tc>
        <w:tc>
          <w:tcPr>
            <w:tcW w:w="896" w:type="pct"/>
            <w:gridSpan w:val="5"/>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7.3 / 6.6</w:t>
            </w:r>
          </w:p>
        </w:tc>
        <w:tc>
          <w:tcPr>
            <w:tcW w:w="900" w:type="pct"/>
            <w:gridSpan w:val="3"/>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20</w:t>
            </w:r>
          </w:p>
        </w:tc>
        <w:tc>
          <w:tcPr>
            <w:tcW w:w="864" w:type="pct"/>
            <w:gridSpan w:val="7"/>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8.6</w:t>
            </w:r>
          </w:p>
        </w:tc>
        <w:tc>
          <w:tcPr>
            <w:tcW w:w="903" w:type="pct"/>
            <w:gridSpan w:val="4"/>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6.3</w:t>
            </w:r>
          </w:p>
        </w:tc>
        <w:tc>
          <w:tcPr>
            <w:tcW w:w="879" w:type="pct"/>
            <w:gridSpan w:val="5"/>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25</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No. of symbols / subframe</w:t>
            </w:r>
            <w:r>
              <w:rPr>
                <w:sz w:val="18"/>
                <w:szCs w:val="20"/>
              </w:rPr>
              <w:t xml:space="preserve">* </w:t>
            </w:r>
          </w:p>
        </w:tc>
        <w:tc>
          <w:tcPr>
            <w:tcW w:w="896" w:type="pct"/>
            <w:gridSpan w:val="5"/>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7</w:t>
            </w:r>
          </w:p>
        </w:tc>
        <w:tc>
          <w:tcPr>
            <w:tcW w:w="900" w:type="pct"/>
            <w:gridSpan w:val="3"/>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6</w:t>
            </w:r>
          </w:p>
        </w:tc>
        <w:tc>
          <w:tcPr>
            <w:tcW w:w="864" w:type="pct"/>
            <w:gridSpan w:val="7"/>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2</w:t>
            </w:r>
          </w:p>
        </w:tc>
        <w:tc>
          <w:tcPr>
            <w:tcW w:w="903" w:type="pct"/>
            <w:gridSpan w:val="4"/>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2</w:t>
            </w:r>
          </w:p>
        </w:tc>
        <w:tc>
          <w:tcPr>
            <w:tcW w:w="879" w:type="pct"/>
            <w:gridSpan w:val="5"/>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Pr>
                <w:sz w:val="16"/>
                <w:szCs w:val="20"/>
              </w:rPr>
              <w:t>2</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Pr>
                <w:sz w:val="18"/>
                <w:szCs w:val="20"/>
              </w:rPr>
              <w:t>NR s</w:t>
            </w:r>
            <w:r w:rsidRPr="006D2B51">
              <w:rPr>
                <w:sz w:val="18"/>
                <w:szCs w:val="20"/>
              </w:rPr>
              <w:t xml:space="preserve">ubframe </w:t>
            </w:r>
            <w:r w:rsidRPr="006D2B51">
              <w:rPr>
                <w:sz w:val="18"/>
                <w:szCs w:val="20"/>
              </w:rPr>
              <w:lastRenderedPageBreak/>
              <w:t>length</w:t>
            </w:r>
            <w:r>
              <w:rPr>
                <w:sz w:val="18"/>
                <w:szCs w:val="20"/>
              </w:rPr>
              <w:t>*</w:t>
            </w:r>
            <w:r w:rsidRPr="006D2B51">
              <w:rPr>
                <w:sz w:val="18"/>
                <w:szCs w:val="20"/>
              </w:rPr>
              <w:t xml:space="preserve"> (ms)</w:t>
            </w:r>
          </w:p>
        </w:tc>
        <w:tc>
          <w:tcPr>
            <w:tcW w:w="240" w:type="pct"/>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lastRenderedPageBreak/>
              <w:t>0.5</w:t>
            </w:r>
          </w:p>
        </w:tc>
        <w:tc>
          <w:tcPr>
            <w:tcW w:w="302"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0.25</w:t>
            </w:r>
          </w:p>
        </w:tc>
        <w:tc>
          <w:tcPr>
            <w:tcW w:w="354"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0.125</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0.5</w:t>
            </w:r>
          </w:p>
        </w:tc>
        <w:tc>
          <w:tcPr>
            <w:tcW w:w="293" w:type="pct"/>
          </w:tcPr>
          <w:p w:rsidR="005E1069" w:rsidRDefault="005E1069" w:rsidP="00D035BD">
            <w:pPr>
              <w:adjustRightInd/>
              <w:snapToGrid w:val="0"/>
              <w:spacing w:afterLines="50" w:line="276" w:lineRule="auto"/>
              <w:jc w:val="center"/>
              <w:rPr>
                <w:sz w:val="16"/>
                <w:szCs w:val="20"/>
              </w:rPr>
            </w:pPr>
            <w:r>
              <w:rPr>
                <w:sz w:val="16"/>
                <w:szCs w:val="20"/>
              </w:rPr>
              <w:t>0.25</w:t>
            </w:r>
          </w:p>
        </w:tc>
        <w:tc>
          <w:tcPr>
            <w:tcW w:w="314" w:type="pct"/>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0.125</w:t>
            </w:r>
          </w:p>
        </w:tc>
        <w:tc>
          <w:tcPr>
            <w:tcW w:w="256" w:type="pct"/>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w:t>
            </w:r>
            <w:r>
              <w:rPr>
                <w:sz w:val="16"/>
                <w:szCs w:val="20"/>
              </w:rPr>
              <w:t>1</w:t>
            </w:r>
            <w:r w:rsidRPr="006D2B51">
              <w:rPr>
                <w:sz w:val="16"/>
                <w:szCs w:val="20"/>
              </w:rPr>
              <w:t>25</w:t>
            </w:r>
          </w:p>
        </w:tc>
        <w:tc>
          <w:tcPr>
            <w:tcW w:w="280" w:type="pct"/>
            <w:gridSpan w:val="3"/>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0. 06</w:t>
            </w:r>
            <w:r>
              <w:rPr>
                <w:sz w:val="16"/>
                <w:szCs w:val="20"/>
              </w:rPr>
              <w:t>3</w:t>
            </w:r>
          </w:p>
        </w:tc>
        <w:tc>
          <w:tcPr>
            <w:tcW w:w="329" w:type="pct"/>
            <w:gridSpan w:val="3"/>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0.0</w:t>
            </w:r>
            <w:r>
              <w:rPr>
                <w:sz w:val="16"/>
                <w:szCs w:val="20"/>
              </w:rPr>
              <w:t>31</w:t>
            </w:r>
          </w:p>
        </w:tc>
        <w:tc>
          <w:tcPr>
            <w:tcW w:w="263"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w:t>
            </w:r>
            <w:r>
              <w:rPr>
                <w:sz w:val="16"/>
                <w:szCs w:val="20"/>
              </w:rPr>
              <w:t>1</w:t>
            </w:r>
            <w:r w:rsidRPr="006D2B51">
              <w:rPr>
                <w:sz w:val="16"/>
                <w:szCs w:val="20"/>
              </w:rPr>
              <w:t>25</w:t>
            </w:r>
          </w:p>
        </w:tc>
        <w:tc>
          <w:tcPr>
            <w:tcW w:w="311"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w:t>
            </w:r>
            <w:r>
              <w:rPr>
                <w:sz w:val="16"/>
                <w:szCs w:val="20"/>
              </w:rPr>
              <w:t>063</w:t>
            </w:r>
          </w:p>
        </w:tc>
        <w:tc>
          <w:tcPr>
            <w:tcW w:w="329"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0.0</w:t>
            </w:r>
            <w:r>
              <w:rPr>
                <w:sz w:val="16"/>
                <w:szCs w:val="20"/>
              </w:rPr>
              <w:t>31</w:t>
            </w:r>
          </w:p>
        </w:tc>
        <w:tc>
          <w:tcPr>
            <w:tcW w:w="264" w:type="pct"/>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w:t>
            </w:r>
            <w:r>
              <w:rPr>
                <w:sz w:val="16"/>
                <w:szCs w:val="20"/>
              </w:rPr>
              <w:t>1</w:t>
            </w:r>
            <w:r w:rsidRPr="006D2B51">
              <w:rPr>
                <w:sz w:val="16"/>
                <w:szCs w:val="20"/>
              </w:rPr>
              <w:t>25</w:t>
            </w:r>
          </w:p>
        </w:tc>
        <w:tc>
          <w:tcPr>
            <w:tcW w:w="292" w:type="pct"/>
            <w:gridSpan w:val="2"/>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w:t>
            </w:r>
            <w:r>
              <w:rPr>
                <w:sz w:val="16"/>
                <w:szCs w:val="20"/>
              </w:rPr>
              <w:t>063</w:t>
            </w:r>
          </w:p>
        </w:tc>
        <w:tc>
          <w:tcPr>
            <w:tcW w:w="323" w:type="pct"/>
            <w:gridSpan w:val="2"/>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0.0</w:t>
            </w:r>
            <w:r>
              <w:rPr>
                <w:sz w:val="16"/>
                <w:szCs w:val="20"/>
              </w:rPr>
              <w:t>31</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lastRenderedPageBreak/>
              <w:t>Frame length (ms)</w:t>
            </w:r>
          </w:p>
        </w:tc>
        <w:tc>
          <w:tcPr>
            <w:tcW w:w="896" w:type="pct"/>
            <w:gridSpan w:val="5"/>
            <w:tcBorders>
              <w:left w:val="single" w:sz="12" w:space="0" w:color="000000" w:themeColor="text1"/>
            </w:tcBorders>
            <w:tcMar>
              <w:left w:w="28" w:type="dxa"/>
              <w:right w:w="28" w:type="dxa"/>
            </w:tcMar>
          </w:tcPr>
          <w:p w:rsidR="005E1069" w:rsidRDefault="004A4E34" w:rsidP="00D035BD">
            <w:pPr>
              <w:adjustRightInd/>
              <w:snapToGrid w:val="0"/>
              <w:spacing w:afterLines="50" w:line="276" w:lineRule="auto"/>
              <w:jc w:val="center"/>
              <w:rPr>
                <w:sz w:val="16"/>
                <w:szCs w:val="20"/>
              </w:rPr>
            </w:pPr>
            <w:r>
              <w:rPr>
                <w:sz w:val="16"/>
                <w:szCs w:val="20"/>
              </w:rPr>
              <w:t>N/A</w:t>
            </w:r>
          </w:p>
        </w:tc>
        <w:tc>
          <w:tcPr>
            <w:tcW w:w="900" w:type="pct"/>
            <w:gridSpan w:val="3"/>
            <w:tcBorders>
              <w:right w:val="single" w:sz="12" w:space="0" w:color="000000" w:themeColor="text1"/>
            </w:tcBorders>
          </w:tcPr>
          <w:p w:rsidR="005E1069" w:rsidRDefault="004A4E34" w:rsidP="00D035BD">
            <w:pPr>
              <w:adjustRightInd/>
              <w:snapToGrid w:val="0"/>
              <w:spacing w:afterLines="50" w:line="276" w:lineRule="auto"/>
              <w:jc w:val="center"/>
              <w:rPr>
                <w:sz w:val="16"/>
                <w:szCs w:val="20"/>
              </w:rPr>
            </w:pPr>
            <w:r>
              <w:rPr>
                <w:sz w:val="16"/>
                <w:szCs w:val="20"/>
              </w:rPr>
              <w:t>N/A</w:t>
            </w:r>
          </w:p>
        </w:tc>
        <w:tc>
          <w:tcPr>
            <w:tcW w:w="864" w:type="pct"/>
            <w:gridSpan w:val="7"/>
            <w:tcBorders>
              <w:left w:val="single" w:sz="12" w:space="0" w:color="000000" w:themeColor="text1"/>
            </w:tcBorders>
            <w:tcMar>
              <w:left w:w="28" w:type="dxa"/>
              <w:right w:w="28" w:type="dxa"/>
            </w:tcMar>
          </w:tcPr>
          <w:p w:rsidR="005E1069" w:rsidRDefault="004A4E34" w:rsidP="00D035BD">
            <w:pPr>
              <w:adjustRightInd/>
              <w:snapToGrid w:val="0"/>
              <w:spacing w:afterLines="50" w:line="276" w:lineRule="auto"/>
              <w:jc w:val="center"/>
              <w:rPr>
                <w:sz w:val="16"/>
                <w:szCs w:val="20"/>
              </w:rPr>
            </w:pPr>
            <w:r>
              <w:rPr>
                <w:sz w:val="16"/>
                <w:szCs w:val="20"/>
              </w:rPr>
              <w:t>N/A</w:t>
            </w:r>
          </w:p>
        </w:tc>
        <w:tc>
          <w:tcPr>
            <w:tcW w:w="903" w:type="pct"/>
            <w:gridSpan w:val="4"/>
            <w:tcMar>
              <w:left w:w="28" w:type="dxa"/>
              <w:right w:w="28" w:type="dxa"/>
            </w:tcMar>
          </w:tcPr>
          <w:p w:rsidR="005E1069" w:rsidRDefault="004A4E34" w:rsidP="00D035BD">
            <w:pPr>
              <w:adjustRightInd/>
              <w:snapToGrid w:val="0"/>
              <w:spacing w:afterLines="50" w:line="276" w:lineRule="auto"/>
              <w:jc w:val="center"/>
              <w:rPr>
                <w:sz w:val="16"/>
                <w:szCs w:val="20"/>
              </w:rPr>
            </w:pPr>
            <w:r>
              <w:rPr>
                <w:sz w:val="16"/>
                <w:szCs w:val="20"/>
              </w:rPr>
              <w:t>N/A</w:t>
            </w:r>
          </w:p>
        </w:tc>
        <w:tc>
          <w:tcPr>
            <w:tcW w:w="879" w:type="pct"/>
            <w:gridSpan w:val="5"/>
            <w:tcBorders>
              <w:right w:val="single" w:sz="12" w:space="0" w:color="000000" w:themeColor="text1"/>
            </w:tcBorders>
            <w:tcMar>
              <w:left w:w="28" w:type="dxa"/>
              <w:right w:w="28" w:type="dxa"/>
            </w:tcMar>
          </w:tcPr>
          <w:p w:rsidR="005E1069" w:rsidRDefault="004A4E34" w:rsidP="00D035BD">
            <w:pPr>
              <w:adjustRightInd/>
              <w:snapToGrid w:val="0"/>
              <w:spacing w:afterLines="50" w:line="276" w:lineRule="auto"/>
              <w:jc w:val="center"/>
              <w:rPr>
                <w:sz w:val="16"/>
                <w:szCs w:val="20"/>
              </w:rPr>
            </w:pPr>
            <w:r>
              <w:rPr>
                <w:sz w:val="16"/>
                <w:szCs w:val="20"/>
              </w:rPr>
              <w:t>N/A</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Sampling frequency</w:t>
            </w:r>
            <w:r>
              <w:rPr>
                <w:sz w:val="18"/>
                <w:szCs w:val="20"/>
              </w:rPr>
              <w:t>**</w:t>
            </w:r>
            <w:r w:rsidRPr="006D2B51">
              <w:rPr>
                <w:sz w:val="18"/>
                <w:szCs w:val="20"/>
              </w:rPr>
              <w:t xml:space="preserve"> (MHz)</w:t>
            </w:r>
          </w:p>
        </w:tc>
        <w:tc>
          <w:tcPr>
            <w:tcW w:w="896" w:type="pct"/>
            <w:gridSpan w:val="5"/>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30.72</w:t>
            </w:r>
          </w:p>
        </w:tc>
        <w:tc>
          <w:tcPr>
            <w:tcW w:w="900" w:type="pct"/>
            <w:gridSpan w:val="3"/>
            <w:tcBorders>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30.72</w:t>
            </w:r>
          </w:p>
        </w:tc>
        <w:tc>
          <w:tcPr>
            <w:tcW w:w="864" w:type="pct"/>
            <w:gridSpan w:val="7"/>
            <w:tcBorders>
              <w:lef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35.84</w:t>
            </w:r>
          </w:p>
        </w:tc>
        <w:tc>
          <w:tcPr>
            <w:tcW w:w="903" w:type="pct"/>
            <w:gridSpan w:val="4"/>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30.72</w:t>
            </w:r>
          </w:p>
        </w:tc>
        <w:tc>
          <w:tcPr>
            <w:tcW w:w="879" w:type="pct"/>
            <w:gridSpan w:val="5"/>
            <w:tcBorders>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30.72</w:t>
            </w:r>
          </w:p>
        </w:tc>
      </w:tr>
      <w:tr w:rsidR="005E1069" w:rsidRPr="006D2B51" w:rsidTr="00401E16">
        <w:tc>
          <w:tcPr>
            <w:tcW w:w="557" w:type="pct"/>
            <w:tcBorders>
              <w:right w:val="single" w:sz="12" w:space="0" w:color="000000" w:themeColor="text1"/>
            </w:tcBorders>
            <w:tcMar>
              <w:left w:w="28" w:type="dxa"/>
              <w:right w:w="28" w:type="dxa"/>
            </w:tcMar>
          </w:tcPr>
          <w:p w:rsidR="005E1069" w:rsidRPr="006D2B51" w:rsidRDefault="005E1069" w:rsidP="00D035BD">
            <w:pPr>
              <w:adjustRightInd/>
              <w:snapToGrid w:val="0"/>
              <w:spacing w:afterLines="50" w:line="276" w:lineRule="auto"/>
              <w:jc w:val="center"/>
              <w:rPr>
                <w:sz w:val="18"/>
                <w:szCs w:val="20"/>
              </w:rPr>
            </w:pPr>
            <w:r w:rsidRPr="006D2B51">
              <w:rPr>
                <w:sz w:val="18"/>
                <w:szCs w:val="20"/>
              </w:rPr>
              <w:t>System DFT size</w:t>
            </w:r>
            <w:r>
              <w:rPr>
                <w:sz w:val="18"/>
                <w:szCs w:val="20"/>
              </w:rPr>
              <w:t>**</w:t>
            </w:r>
          </w:p>
        </w:tc>
        <w:tc>
          <w:tcPr>
            <w:tcW w:w="248" w:type="pct"/>
            <w:gridSpan w:val="2"/>
            <w:tcBorders>
              <w:left w:val="single" w:sz="12" w:space="0" w:color="000000" w:themeColor="text1"/>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2048</w:t>
            </w:r>
          </w:p>
        </w:tc>
        <w:tc>
          <w:tcPr>
            <w:tcW w:w="383" w:type="pct"/>
            <w:gridSpan w:val="2"/>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1024</w:t>
            </w:r>
          </w:p>
        </w:tc>
        <w:tc>
          <w:tcPr>
            <w:tcW w:w="265" w:type="pct"/>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512</w:t>
            </w:r>
          </w:p>
        </w:tc>
        <w:tc>
          <w:tcPr>
            <w:tcW w:w="293" w:type="pct"/>
            <w:tcBorders>
              <w:bottom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2048</w:t>
            </w:r>
          </w:p>
        </w:tc>
        <w:tc>
          <w:tcPr>
            <w:tcW w:w="293" w:type="pct"/>
            <w:tcBorders>
              <w:bottom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1024</w:t>
            </w:r>
          </w:p>
        </w:tc>
        <w:tc>
          <w:tcPr>
            <w:tcW w:w="314" w:type="pct"/>
            <w:tcBorders>
              <w:bottom w:val="single" w:sz="12" w:space="0" w:color="000000" w:themeColor="text1"/>
              <w:right w:val="single" w:sz="12" w:space="0" w:color="000000" w:themeColor="text1"/>
            </w:tcBorders>
          </w:tcPr>
          <w:p w:rsidR="005E1069" w:rsidRDefault="005E1069" w:rsidP="00D035BD">
            <w:pPr>
              <w:adjustRightInd/>
              <w:snapToGrid w:val="0"/>
              <w:spacing w:afterLines="50" w:line="276" w:lineRule="auto"/>
              <w:jc w:val="center"/>
              <w:rPr>
                <w:sz w:val="16"/>
                <w:szCs w:val="20"/>
              </w:rPr>
            </w:pPr>
            <w:r>
              <w:rPr>
                <w:sz w:val="16"/>
                <w:szCs w:val="20"/>
              </w:rPr>
              <w:t>512</w:t>
            </w:r>
          </w:p>
        </w:tc>
        <w:tc>
          <w:tcPr>
            <w:tcW w:w="256" w:type="pct"/>
            <w:tcBorders>
              <w:left w:val="single" w:sz="12" w:space="0" w:color="000000" w:themeColor="text1"/>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2048</w:t>
            </w:r>
          </w:p>
        </w:tc>
        <w:tc>
          <w:tcPr>
            <w:tcW w:w="276" w:type="pct"/>
            <w:gridSpan w:val="2"/>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1024</w:t>
            </w:r>
          </w:p>
        </w:tc>
        <w:tc>
          <w:tcPr>
            <w:tcW w:w="332" w:type="pct"/>
            <w:gridSpan w:val="4"/>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512</w:t>
            </w:r>
          </w:p>
        </w:tc>
        <w:tc>
          <w:tcPr>
            <w:tcW w:w="347" w:type="pct"/>
            <w:gridSpan w:val="2"/>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1800</w:t>
            </w:r>
          </w:p>
        </w:tc>
        <w:tc>
          <w:tcPr>
            <w:tcW w:w="227" w:type="pct"/>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900</w:t>
            </w:r>
          </w:p>
        </w:tc>
        <w:tc>
          <w:tcPr>
            <w:tcW w:w="329" w:type="pct"/>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450</w:t>
            </w:r>
          </w:p>
        </w:tc>
        <w:tc>
          <w:tcPr>
            <w:tcW w:w="300" w:type="pct"/>
            <w:gridSpan w:val="2"/>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1440</w:t>
            </w:r>
          </w:p>
        </w:tc>
        <w:tc>
          <w:tcPr>
            <w:tcW w:w="291" w:type="pct"/>
            <w:gridSpan w:val="2"/>
            <w:tcBorders>
              <w:bottom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720</w:t>
            </w:r>
          </w:p>
        </w:tc>
        <w:tc>
          <w:tcPr>
            <w:tcW w:w="288" w:type="pct"/>
            <w:tcBorders>
              <w:bottom w:val="single" w:sz="12" w:space="0" w:color="000000" w:themeColor="text1"/>
              <w:right w:val="single" w:sz="12" w:space="0" w:color="000000" w:themeColor="text1"/>
            </w:tcBorders>
            <w:tcMar>
              <w:left w:w="28" w:type="dxa"/>
              <w:right w:w="28" w:type="dxa"/>
            </w:tcMar>
          </w:tcPr>
          <w:p w:rsidR="005E1069" w:rsidRDefault="005E1069" w:rsidP="00D035BD">
            <w:pPr>
              <w:adjustRightInd/>
              <w:snapToGrid w:val="0"/>
              <w:spacing w:afterLines="50" w:line="276" w:lineRule="auto"/>
              <w:jc w:val="center"/>
              <w:rPr>
                <w:sz w:val="16"/>
                <w:szCs w:val="20"/>
              </w:rPr>
            </w:pPr>
            <w:r w:rsidRPr="006D2B51">
              <w:rPr>
                <w:sz w:val="16"/>
                <w:szCs w:val="20"/>
              </w:rPr>
              <w:t>360</w:t>
            </w:r>
          </w:p>
        </w:tc>
      </w:tr>
    </w:tbl>
    <w:p w:rsidR="00597472" w:rsidRPr="005E1069" w:rsidRDefault="00597472" w:rsidP="00597472">
      <w:pPr>
        <w:rPr>
          <w:u w:val="single"/>
          <w:lang w:val="en-GB"/>
        </w:rPr>
      </w:pPr>
    </w:p>
    <w:p w:rsidR="00804288" w:rsidRDefault="006F75D8" w:rsidP="00804288">
      <w:pPr>
        <w:numPr>
          <w:ilvl w:val="0"/>
          <w:numId w:val="1"/>
        </w:numPr>
        <w:ind w:left="357" w:hanging="357"/>
        <w:rPr>
          <w:b/>
          <w:sz w:val="30"/>
          <w:szCs w:val="30"/>
        </w:rPr>
      </w:pPr>
      <w:r>
        <w:rPr>
          <w:b/>
          <w:sz w:val="30"/>
          <w:szCs w:val="30"/>
        </w:rPr>
        <w:t>N</w:t>
      </w:r>
      <w:r w:rsidR="00B93518">
        <w:rPr>
          <w:b/>
          <w:sz w:val="30"/>
          <w:szCs w:val="30"/>
        </w:rPr>
        <w:t>umerology candidate performance</w:t>
      </w:r>
    </w:p>
    <w:p w:rsidR="00497E8F" w:rsidRDefault="000141D7" w:rsidP="00405CF3">
      <w:pPr>
        <w:adjustRightInd/>
        <w:snapToGrid w:val="0"/>
        <w:spacing w:line="276" w:lineRule="auto"/>
        <w:jc w:val="both"/>
        <w:rPr>
          <w:szCs w:val="20"/>
        </w:rPr>
      </w:pPr>
      <w:r>
        <w:rPr>
          <w:szCs w:val="20"/>
        </w:rPr>
        <w:t xml:space="preserve">In </w:t>
      </w:r>
      <w:r w:rsidR="00183A10">
        <w:rPr>
          <w:szCs w:val="20"/>
        </w:rPr>
        <w:t xml:space="preserve">our companion contribution </w:t>
      </w:r>
      <w:r w:rsidR="0035128A">
        <w:rPr>
          <w:szCs w:val="20"/>
        </w:rPr>
        <w:fldChar w:fldCharType="begin"/>
      </w:r>
      <w:r w:rsidR="00183A10">
        <w:rPr>
          <w:szCs w:val="20"/>
        </w:rPr>
        <w:instrText xml:space="preserve"> REF _Ref450902074 \r \h </w:instrText>
      </w:r>
      <w:r w:rsidR="0035128A">
        <w:rPr>
          <w:szCs w:val="20"/>
        </w:rPr>
      </w:r>
      <w:r w:rsidR="0035128A">
        <w:rPr>
          <w:szCs w:val="20"/>
        </w:rPr>
        <w:fldChar w:fldCharType="separate"/>
      </w:r>
      <w:r w:rsidR="00290D4A">
        <w:rPr>
          <w:szCs w:val="20"/>
        </w:rPr>
        <w:t>[8]</w:t>
      </w:r>
      <w:r w:rsidR="0035128A">
        <w:rPr>
          <w:szCs w:val="20"/>
        </w:rPr>
        <w:fldChar w:fldCharType="end"/>
      </w:r>
      <w:r>
        <w:rPr>
          <w:szCs w:val="20"/>
        </w:rPr>
        <w:t xml:space="preserve">, the </w:t>
      </w:r>
      <w:r w:rsidR="00183A10">
        <w:rPr>
          <w:szCs w:val="20"/>
        </w:rPr>
        <w:t xml:space="preserve">link level performance of the </w:t>
      </w:r>
      <w:r>
        <w:rPr>
          <w:szCs w:val="20"/>
        </w:rPr>
        <w:t>different numerolog</w:t>
      </w:r>
      <w:r w:rsidR="00183A10">
        <w:rPr>
          <w:szCs w:val="20"/>
        </w:rPr>
        <w:t>y candidates</w:t>
      </w:r>
      <w:r>
        <w:rPr>
          <w:szCs w:val="20"/>
        </w:rPr>
        <w:t xml:space="preserve"> ha</w:t>
      </w:r>
      <w:r w:rsidR="00183A10">
        <w:rPr>
          <w:szCs w:val="20"/>
        </w:rPr>
        <w:t>s</w:t>
      </w:r>
      <w:r>
        <w:rPr>
          <w:szCs w:val="20"/>
        </w:rPr>
        <w:t xml:space="preserve"> been compared. </w:t>
      </w:r>
      <w:r w:rsidR="00183A10">
        <w:rPr>
          <w:szCs w:val="20"/>
        </w:rPr>
        <w:t>A</w:t>
      </w:r>
      <w:r>
        <w:rPr>
          <w:szCs w:val="20"/>
        </w:rPr>
        <w:t>lt</w:t>
      </w:r>
      <w:r w:rsidR="00183A10">
        <w:rPr>
          <w:szCs w:val="20"/>
        </w:rPr>
        <w:t xml:space="preserve"> </w:t>
      </w:r>
      <w:r>
        <w:rPr>
          <w:szCs w:val="20"/>
        </w:rPr>
        <w:t>1</w:t>
      </w:r>
      <w:r w:rsidR="00183A10">
        <w:rPr>
          <w:szCs w:val="20"/>
        </w:rPr>
        <w:t>N</w:t>
      </w:r>
      <w:r>
        <w:rPr>
          <w:szCs w:val="20"/>
        </w:rPr>
        <w:t xml:space="preserve"> and </w:t>
      </w:r>
      <w:r w:rsidR="00183A10">
        <w:rPr>
          <w:szCs w:val="20"/>
        </w:rPr>
        <w:t>A</w:t>
      </w:r>
      <w:r>
        <w:rPr>
          <w:szCs w:val="20"/>
        </w:rPr>
        <w:t>lt</w:t>
      </w:r>
      <w:r w:rsidR="00183A10">
        <w:rPr>
          <w:szCs w:val="20"/>
        </w:rPr>
        <w:t xml:space="preserve"> </w:t>
      </w:r>
      <w:r>
        <w:rPr>
          <w:szCs w:val="20"/>
        </w:rPr>
        <w:t xml:space="preserve">3 have the same performance </w:t>
      </w:r>
      <w:r w:rsidR="00183A10">
        <w:rPr>
          <w:szCs w:val="20"/>
        </w:rPr>
        <w:t>in TDL A with</w:t>
      </w:r>
      <w:r>
        <w:rPr>
          <w:szCs w:val="20"/>
        </w:rPr>
        <w:t xml:space="preserve"> </w:t>
      </w:r>
      <w:r w:rsidR="00183A10">
        <w:rPr>
          <w:szCs w:val="20"/>
        </w:rPr>
        <w:t xml:space="preserve">1000 ns </w:t>
      </w:r>
      <w:r>
        <w:rPr>
          <w:szCs w:val="20"/>
        </w:rPr>
        <w:t>DS</w:t>
      </w:r>
      <w:r w:rsidR="00183A10">
        <w:rPr>
          <w:szCs w:val="20"/>
        </w:rPr>
        <w:t xml:space="preserve"> and 30 kmph, see</w:t>
      </w:r>
      <w:r w:rsidR="004A4E34">
        <w:rPr>
          <w:szCs w:val="20"/>
        </w:rPr>
        <w:t xml:space="preserve"> the left figure in</w:t>
      </w:r>
      <w:r w:rsidR="00183A10">
        <w:rPr>
          <w:szCs w:val="20"/>
        </w:rPr>
        <w:t xml:space="preserve"> </w:t>
      </w:r>
      <w:r w:rsidR="0035128A">
        <w:rPr>
          <w:szCs w:val="20"/>
        </w:rPr>
        <w:fldChar w:fldCharType="begin"/>
      </w:r>
      <w:r w:rsidR="004A4E34">
        <w:rPr>
          <w:szCs w:val="20"/>
        </w:rPr>
        <w:instrText xml:space="preserve"> REF _Ref450909628 \h </w:instrText>
      </w:r>
      <w:r w:rsidR="0035128A">
        <w:rPr>
          <w:szCs w:val="20"/>
        </w:rPr>
      </w:r>
      <w:r w:rsidR="0035128A">
        <w:rPr>
          <w:szCs w:val="20"/>
        </w:rPr>
        <w:fldChar w:fldCharType="separate"/>
      </w:r>
      <w:r w:rsidR="00290D4A">
        <w:t xml:space="preserve">Figure </w:t>
      </w:r>
      <w:r w:rsidR="00290D4A">
        <w:rPr>
          <w:noProof/>
        </w:rPr>
        <w:t>4</w:t>
      </w:r>
      <w:r w:rsidR="0035128A">
        <w:rPr>
          <w:szCs w:val="20"/>
        </w:rPr>
        <w:fldChar w:fldCharType="end"/>
      </w:r>
      <w:r w:rsidR="004A4E34">
        <w:rPr>
          <w:szCs w:val="20"/>
        </w:rPr>
        <w:t>.</w:t>
      </w:r>
    </w:p>
    <w:p w:rsidR="00405CF3" w:rsidRDefault="00405CF3" w:rsidP="00405CF3">
      <w:pPr>
        <w:adjustRightInd/>
        <w:snapToGrid w:val="0"/>
        <w:spacing w:line="276" w:lineRule="auto"/>
        <w:jc w:val="both"/>
        <w:rPr>
          <w:szCs w:val="20"/>
        </w:rPr>
      </w:pPr>
    </w:p>
    <w:p w:rsidR="00497E8F" w:rsidRDefault="000141D7" w:rsidP="00405CF3">
      <w:pPr>
        <w:adjustRightInd/>
        <w:snapToGrid w:val="0"/>
        <w:spacing w:line="276" w:lineRule="auto"/>
        <w:jc w:val="both"/>
        <w:rPr>
          <w:szCs w:val="20"/>
        </w:rPr>
      </w:pPr>
      <w:r>
        <w:rPr>
          <w:szCs w:val="20"/>
        </w:rPr>
        <w:t xml:space="preserve">In the right </w:t>
      </w:r>
      <w:r w:rsidR="004A4E34">
        <w:rPr>
          <w:szCs w:val="20"/>
        </w:rPr>
        <w:t>figure</w:t>
      </w:r>
      <w:r w:rsidR="00183A10">
        <w:rPr>
          <w:szCs w:val="20"/>
        </w:rPr>
        <w:t xml:space="preserve"> of</w:t>
      </w:r>
      <w:r w:rsidR="004A4E34">
        <w:rPr>
          <w:szCs w:val="20"/>
        </w:rPr>
        <w:t xml:space="preserve"> </w:t>
      </w:r>
      <w:r w:rsidR="0035128A">
        <w:rPr>
          <w:szCs w:val="20"/>
        </w:rPr>
        <w:fldChar w:fldCharType="begin"/>
      </w:r>
      <w:r w:rsidR="004A4E34">
        <w:rPr>
          <w:szCs w:val="20"/>
        </w:rPr>
        <w:instrText xml:space="preserve"> REF _Ref450909628 \h </w:instrText>
      </w:r>
      <w:r w:rsidR="0035128A">
        <w:rPr>
          <w:szCs w:val="20"/>
        </w:rPr>
      </w:r>
      <w:r w:rsidR="0035128A">
        <w:rPr>
          <w:szCs w:val="20"/>
        </w:rPr>
        <w:fldChar w:fldCharType="separate"/>
      </w:r>
      <w:r w:rsidR="00290D4A">
        <w:t xml:space="preserve">Figure </w:t>
      </w:r>
      <w:r w:rsidR="00290D4A">
        <w:rPr>
          <w:noProof/>
        </w:rPr>
        <w:t>4</w:t>
      </w:r>
      <w:r w:rsidR="0035128A">
        <w:rPr>
          <w:szCs w:val="20"/>
        </w:rPr>
        <w:fldChar w:fldCharType="end"/>
      </w:r>
      <w:r>
        <w:rPr>
          <w:szCs w:val="20"/>
        </w:rPr>
        <w:t xml:space="preserve">, the </w:t>
      </w:r>
      <w:r w:rsidR="00183A10">
        <w:rPr>
          <w:szCs w:val="20"/>
        </w:rPr>
        <w:t xml:space="preserve">low-latency </w:t>
      </w:r>
      <w:r>
        <w:rPr>
          <w:szCs w:val="20"/>
        </w:rPr>
        <w:t xml:space="preserve">performance </w:t>
      </w:r>
      <w:r w:rsidR="00183A10">
        <w:rPr>
          <w:szCs w:val="20"/>
        </w:rPr>
        <w:t>in a</w:t>
      </w:r>
      <w:r w:rsidR="00497E8F">
        <w:rPr>
          <w:szCs w:val="20"/>
        </w:rPr>
        <w:t xml:space="preserve"> large delay spread </w:t>
      </w:r>
      <w:r w:rsidR="00183A10">
        <w:rPr>
          <w:szCs w:val="20"/>
        </w:rPr>
        <w:t>environment</w:t>
      </w:r>
      <w:r w:rsidR="00A77F58">
        <w:rPr>
          <w:szCs w:val="20"/>
        </w:rPr>
        <w:t xml:space="preserve"> is </w:t>
      </w:r>
      <w:r w:rsidR="00183A10">
        <w:rPr>
          <w:szCs w:val="20"/>
        </w:rPr>
        <w:t>compared</w:t>
      </w:r>
      <w:r w:rsidR="00A77F58">
        <w:rPr>
          <w:szCs w:val="20"/>
        </w:rPr>
        <w:t>. Two</w:t>
      </w:r>
      <w:r w:rsidR="00497E8F">
        <w:rPr>
          <w:szCs w:val="20"/>
        </w:rPr>
        <w:t xml:space="preserve"> methods to create the short </w:t>
      </w:r>
      <w:r w:rsidR="00183A10">
        <w:rPr>
          <w:szCs w:val="20"/>
        </w:rPr>
        <w:t>sub</w:t>
      </w:r>
      <w:r w:rsidR="00497E8F">
        <w:rPr>
          <w:szCs w:val="20"/>
        </w:rPr>
        <w:t xml:space="preserve">frames </w:t>
      </w:r>
      <w:r w:rsidR="00183A10">
        <w:rPr>
          <w:szCs w:val="20"/>
        </w:rPr>
        <w:t>of 125 us are compared</w:t>
      </w:r>
      <w:r w:rsidR="00497E8F">
        <w:rPr>
          <w:szCs w:val="20"/>
        </w:rPr>
        <w:t>;</w:t>
      </w:r>
    </w:p>
    <w:p w:rsidR="00A77F58" w:rsidRDefault="00B84559" w:rsidP="00405CF3">
      <w:pPr>
        <w:pStyle w:val="ListParagraph"/>
        <w:numPr>
          <w:ilvl w:val="0"/>
          <w:numId w:val="32"/>
        </w:numPr>
        <w:adjustRightInd/>
        <w:snapToGrid w:val="0"/>
        <w:spacing w:line="276" w:lineRule="auto"/>
        <w:ind w:left="778" w:firstLineChars="0"/>
        <w:jc w:val="both"/>
        <w:rPr>
          <w:szCs w:val="20"/>
        </w:rPr>
      </w:pPr>
      <w:r>
        <w:rPr>
          <w:szCs w:val="20"/>
        </w:rPr>
        <w:t>Method 1: Uses</w:t>
      </w:r>
      <w:r w:rsidR="00A77F58">
        <w:rPr>
          <w:szCs w:val="20"/>
        </w:rPr>
        <w:t xml:space="preserve"> A</w:t>
      </w:r>
      <w:r w:rsidR="00497E8F">
        <w:rPr>
          <w:szCs w:val="20"/>
        </w:rPr>
        <w:t>lt</w:t>
      </w:r>
      <w:r w:rsidR="00183A10">
        <w:rPr>
          <w:szCs w:val="20"/>
        </w:rPr>
        <w:t xml:space="preserve"> </w:t>
      </w:r>
      <w:r w:rsidR="00497E8F">
        <w:rPr>
          <w:szCs w:val="20"/>
        </w:rPr>
        <w:t xml:space="preserve">3 </w:t>
      </w:r>
      <w:r w:rsidR="00183A10">
        <w:rPr>
          <w:szCs w:val="20"/>
        </w:rPr>
        <w:t>without scaling (M=1) with</w:t>
      </w:r>
      <w:r w:rsidR="00A77F58">
        <w:rPr>
          <w:szCs w:val="20"/>
        </w:rPr>
        <w:t xml:space="preserve"> 2 symbols </w:t>
      </w:r>
      <w:r w:rsidR="00183A10">
        <w:rPr>
          <w:szCs w:val="20"/>
        </w:rPr>
        <w:t>per sub</w:t>
      </w:r>
      <w:r w:rsidR="00A77F58">
        <w:rPr>
          <w:szCs w:val="20"/>
        </w:rPr>
        <w:t xml:space="preserve">frame. </w:t>
      </w:r>
    </w:p>
    <w:p w:rsidR="00B84559" w:rsidRDefault="00A77F58" w:rsidP="00405CF3">
      <w:pPr>
        <w:pStyle w:val="ListParagraph"/>
        <w:numPr>
          <w:ilvl w:val="0"/>
          <w:numId w:val="32"/>
        </w:numPr>
        <w:adjustRightInd/>
        <w:snapToGrid w:val="0"/>
        <w:spacing w:line="276" w:lineRule="auto"/>
        <w:ind w:left="778" w:firstLineChars="0"/>
        <w:jc w:val="both"/>
        <w:rPr>
          <w:szCs w:val="20"/>
        </w:rPr>
      </w:pPr>
      <w:r>
        <w:rPr>
          <w:szCs w:val="20"/>
        </w:rPr>
        <w:t>Method 2: Uses Alt</w:t>
      </w:r>
      <w:r w:rsidR="00183A10">
        <w:rPr>
          <w:szCs w:val="20"/>
        </w:rPr>
        <w:t xml:space="preserve"> </w:t>
      </w:r>
      <w:r>
        <w:rPr>
          <w:szCs w:val="20"/>
        </w:rPr>
        <w:t>1</w:t>
      </w:r>
      <w:r w:rsidR="00183A10">
        <w:rPr>
          <w:szCs w:val="20"/>
        </w:rPr>
        <w:t xml:space="preserve"> with scaling (M=4) with 7 symbols per subframe (NCP) or 6 symbols per subframe (ECP).</w:t>
      </w:r>
      <w:r>
        <w:rPr>
          <w:szCs w:val="20"/>
        </w:rPr>
        <w:t xml:space="preserve"> </w:t>
      </w:r>
    </w:p>
    <w:p w:rsidR="00405CF3" w:rsidRDefault="00B84559" w:rsidP="00405CF3">
      <w:pPr>
        <w:adjustRightInd/>
        <w:snapToGrid w:val="0"/>
        <w:spacing w:line="276" w:lineRule="auto"/>
        <w:ind w:left="58"/>
        <w:jc w:val="both"/>
        <w:rPr>
          <w:szCs w:val="20"/>
        </w:rPr>
      </w:pPr>
      <w:r>
        <w:rPr>
          <w:szCs w:val="20"/>
        </w:rPr>
        <w:t>From the simulation result shown in the right-hand figure below it can be seen that Alt3</w:t>
      </w:r>
      <w:r w:rsidR="00183A10">
        <w:rPr>
          <w:szCs w:val="20"/>
        </w:rPr>
        <w:t xml:space="preserve"> (with Method 1)</w:t>
      </w:r>
      <w:r>
        <w:rPr>
          <w:szCs w:val="20"/>
        </w:rPr>
        <w:t xml:space="preserve"> outperforms Alt</w:t>
      </w:r>
      <w:r w:rsidR="00183A10">
        <w:rPr>
          <w:szCs w:val="20"/>
        </w:rPr>
        <w:t xml:space="preserve"> </w:t>
      </w:r>
      <w:r>
        <w:rPr>
          <w:szCs w:val="20"/>
        </w:rPr>
        <w:t>1</w:t>
      </w:r>
      <w:r w:rsidR="00183A10">
        <w:rPr>
          <w:szCs w:val="20"/>
        </w:rPr>
        <w:t xml:space="preserve"> (with Method 2),</w:t>
      </w:r>
      <w:r>
        <w:rPr>
          <w:szCs w:val="20"/>
        </w:rPr>
        <w:t xml:space="preserve"> when supporting a short sub-frame for a large delay spread. </w:t>
      </w:r>
    </w:p>
    <w:p w:rsidR="000141D7" w:rsidRPr="00B84559" w:rsidRDefault="00B84559" w:rsidP="00405CF3">
      <w:pPr>
        <w:adjustRightInd/>
        <w:snapToGrid w:val="0"/>
        <w:spacing w:line="276" w:lineRule="auto"/>
        <w:ind w:left="58"/>
        <w:jc w:val="both"/>
        <w:rPr>
          <w:szCs w:val="20"/>
        </w:rPr>
      </w:pPr>
      <w:r w:rsidRPr="00B84559">
        <w:rPr>
          <w:szCs w:val="20"/>
        </w:rPr>
        <w:t xml:space="preserve"> </w:t>
      </w:r>
      <w:r w:rsidR="00A77F58" w:rsidRPr="00B84559">
        <w:rPr>
          <w:szCs w:val="20"/>
        </w:rPr>
        <w:t xml:space="preserve"> </w:t>
      </w:r>
      <w:r w:rsidR="00497E8F" w:rsidRPr="00B84559">
        <w:rPr>
          <w:szCs w:val="20"/>
        </w:rPr>
        <w:t xml:space="preserve"> </w:t>
      </w:r>
    </w:p>
    <w:tbl>
      <w:tblPr>
        <w:tblStyle w:val="TableGrid"/>
        <w:tblW w:w="0" w:type="auto"/>
        <w:tblLook w:val="04A0"/>
      </w:tblPr>
      <w:tblGrid>
        <w:gridCol w:w="4557"/>
        <w:gridCol w:w="4685"/>
      </w:tblGrid>
      <w:tr w:rsidR="00903ED1" w:rsidTr="00903ED1">
        <w:tc>
          <w:tcPr>
            <w:tcW w:w="4583" w:type="dxa"/>
          </w:tcPr>
          <w:p w:rsidR="00903ED1" w:rsidRDefault="00903ED1" w:rsidP="00D035BD">
            <w:pPr>
              <w:adjustRightInd/>
              <w:snapToGrid w:val="0"/>
              <w:spacing w:afterLines="50" w:line="276" w:lineRule="auto"/>
              <w:jc w:val="both"/>
              <w:rPr>
                <w:szCs w:val="20"/>
              </w:rPr>
            </w:pPr>
            <w:r>
              <w:rPr>
                <w:noProof/>
                <w:szCs w:val="20"/>
              </w:rPr>
              <w:drawing>
                <wp:inline distT="0" distB="0" distL="0" distR="0">
                  <wp:extent cx="2758269" cy="1740449"/>
                  <wp:effectExtent l="19050" t="0" r="3981"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2756119" cy="1739093"/>
                          </a:xfrm>
                          <a:prstGeom prst="rect">
                            <a:avLst/>
                          </a:prstGeom>
                          <a:noFill/>
                          <a:ln w="9525">
                            <a:noFill/>
                            <a:miter lim="800000"/>
                            <a:headEnd/>
                            <a:tailEnd/>
                          </a:ln>
                        </pic:spPr>
                      </pic:pic>
                    </a:graphicData>
                  </a:graphic>
                </wp:inline>
              </w:drawing>
            </w:r>
          </w:p>
        </w:tc>
        <w:tc>
          <w:tcPr>
            <w:tcW w:w="4583" w:type="dxa"/>
          </w:tcPr>
          <w:p w:rsidR="00903ED1" w:rsidRDefault="00903ED1" w:rsidP="00D035BD">
            <w:pPr>
              <w:adjustRightInd/>
              <w:snapToGrid w:val="0"/>
              <w:spacing w:afterLines="50" w:line="276" w:lineRule="auto"/>
              <w:jc w:val="both"/>
              <w:rPr>
                <w:szCs w:val="20"/>
              </w:rPr>
            </w:pPr>
            <w:r>
              <w:rPr>
                <w:noProof/>
                <w:szCs w:val="20"/>
              </w:rPr>
              <w:drawing>
                <wp:inline distT="0" distB="0" distL="0" distR="0">
                  <wp:extent cx="2844161" cy="173326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2844325" cy="1733365"/>
                          </a:xfrm>
                          <a:prstGeom prst="rect">
                            <a:avLst/>
                          </a:prstGeom>
                          <a:noFill/>
                          <a:ln w="9525">
                            <a:noFill/>
                            <a:miter lim="800000"/>
                            <a:headEnd/>
                            <a:tailEnd/>
                          </a:ln>
                        </pic:spPr>
                      </pic:pic>
                    </a:graphicData>
                  </a:graphic>
                </wp:inline>
              </w:drawing>
            </w:r>
          </w:p>
        </w:tc>
      </w:tr>
    </w:tbl>
    <w:p w:rsidR="00640758" w:rsidRDefault="004A4E34" w:rsidP="00405CF3">
      <w:pPr>
        <w:pStyle w:val="Caption"/>
        <w:snapToGrid w:val="0"/>
        <w:spacing w:before="0" w:after="0"/>
      </w:pPr>
      <w:bookmarkStart w:id="3" w:name="_Ref450909628"/>
      <w:r>
        <w:t xml:space="preserve">Figure </w:t>
      </w:r>
      <w:r w:rsidR="0035128A">
        <w:fldChar w:fldCharType="begin"/>
      </w:r>
      <w:r w:rsidR="00F317AB">
        <w:instrText xml:space="preserve"> SEQ Figure \* ARABIC </w:instrText>
      </w:r>
      <w:r w:rsidR="0035128A">
        <w:fldChar w:fldCharType="separate"/>
      </w:r>
      <w:r w:rsidR="00290D4A">
        <w:rPr>
          <w:noProof/>
        </w:rPr>
        <w:t>4</w:t>
      </w:r>
      <w:r w:rsidR="0035128A">
        <w:fldChar w:fldCharType="end"/>
      </w:r>
      <w:bookmarkEnd w:id="3"/>
      <w:r>
        <w:t xml:space="preserve"> – The left plot compares Alt 1N (NCP) 15 kHz with Alt 3 17.07 kHz, i.e. without scaling (M=1). The right plot compares performance with 0.125 ms subframes. Method 1 corresponds to Alt 3 with 17.07 kHz and 2 symbols per subframe. Method 2 corresponds to Alt 1 with 60 kHz, for NCP and ECP.</w:t>
      </w:r>
    </w:p>
    <w:p w:rsidR="00405CF3" w:rsidRDefault="00405CF3" w:rsidP="00405CF3">
      <w:pPr>
        <w:adjustRightInd/>
        <w:snapToGrid w:val="0"/>
        <w:spacing w:line="276" w:lineRule="auto"/>
        <w:jc w:val="both"/>
        <w:rPr>
          <w:szCs w:val="20"/>
        </w:rPr>
      </w:pPr>
    </w:p>
    <w:p w:rsidR="00903ED1" w:rsidRDefault="00640758" w:rsidP="00405CF3">
      <w:pPr>
        <w:adjustRightInd/>
        <w:snapToGrid w:val="0"/>
        <w:spacing w:line="276" w:lineRule="auto"/>
        <w:jc w:val="both"/>
        <w:rPr>
          <w:szCs w:val="20"/>
        </w:rPr>
      </w:pPr>
      <w:r>
        <w:rPr>
          <w:szCs w:val="20"/>
        </w:rPr>
        <w:t>For environments with smaller delay spread, we expect similar performance between Alt 1N and Alt 3.</w:t>
      </w:r>
    </w:p>
    <w:p w:rsidR="00405CF3" w:rsidRDefault="00405CF3" w:rsidP="00405CF3">
      <w:pPr>
        <w:adjustRightInd/>
        <w:snapToGrid w:val="0"/>
        <w:spacing w:line="276" w:lineRule="auto"/>
        <w:jc w:val="both"/>
        <w:rPr>
          <w:szCs w:val="20"/>
        </w:rPr>
      </w:pPr>
    </w:p>
    <w:p w:rsidR="00921C5C" w:rsidRDefault="00921C5C" w:rsidP="00405CF3">
      <w:pPr>
        <w:pStyle w:val="Caption"/>
        <w:snapToGrid w:val="0"/>
        <w:spacing w:before="0" w:after="240"/>
      </w:pPr>
      <w:r>
        <w:t xml:space="preserve">Observation </w:t>
      </w:r>
      <w:r w:rsidR="0035128A">
        <w:fldChar w:fldCharType="begin"/>
      </w:r>
      <w:r w:rsidR="00F317AB">
        <w:instrText xml:space="preserve"> SEQ Observation \* ARABIC </w:instrText>
      </w:r>
      <w:r w:rsidR="0035128A">
        <w:fldChar w:fldCharType="separate"/>
      </w:r>
      <w:r w:rsidR="00290D4A">
        <w:rPr>
          <w:noProof/>
        </w:rPr>
        <w:t>1</w:t>
      </w:r>
      <w:r w:rsidR="0035128A">
        <w:fldChar w:fldCharType="end"/>
      </w:r>
      <w:r>
        <w:t xml:space="preserve">: Alt 1 (NCP) 15 kHz and Alt 3 17.07 kHz have similar performance, also for very long DS. </w:t>
      </w:r>
      <w:r w:rsidR="005F4E14">
        <w:t>Alt 3 outperforms Alt 1 when</w:t>
      </w:r>
      <w:r>
        <w:t xml:space="preserve"> achieving low-latency subframes (0.125 ms) at very long DS.</w:t>
      </w:r>
    </w:p>
    <w:p w:rsidR="00597472" w:rsidRPr="00597472" w:rsidRDefault="006F75D8" w:rsidP="00597472">
      <w:pPr>
        <w:numPr>
          <w:ilvl w:val="0"/>
          <w:numId w:val="1"/>
        </w:numPr>
        <w:ind w:left="357" w:hanging="357"/>
        <w:rPr>
          <w:b/>
          <w:sz w:val="30"/>
          <w:szCs w:val="30"/>
        </w:rPr>
      </w:pPr>
      <w:bookmarkStart w:id="4" w:name="_Ref450591606"/>
      <w:r>
        <w:rPr>
          <w:b/>
          <w:sz w:val="30"/>
          <w:szCs w:val="30"/>
        </w:rPr>
        <w:t>N</w:t>
      </w:r>
      <w:r w:rsidR="00597472">
        <w:rPr>
          <w:b/>
          <w:sz w:val="30"/>
          <w:szCs w:val="30"/>
        </w:rPr>
        <w:t>umerology candidate baseband complexity</w:t>
      </w:r>
    </w:p>
    <w:p w:rsidR="00D47F43" w:rsidRDefault="00D47F43" w:rsidP="00405CF3">
      <w:pPr>
        <w:snapToGrid w:val="0"/>
        <w:spacing w:line="276" w:lineRule="auto"/>
        <w:jc w:val="both"/>
      </w:pPr>
      <w:r>
        <w:t xml:space="preserve">Alt 1 and Alt 2 can use FFTs for the regular LTE bandwidths, e.g. 20 </w:t>
      </w:r>
      <w:r w:rsidR="004A4E34">
        <w:t>MHz</w:t>
      </w:r>
      <w:r>
        <w:t xml:space="preserve"> Alt 3 and Alt 4 relies on mixed-radix DFTs in those bandwidths, since the typical LTE sampling frequencies, e.g. 30.72 MHz, are reused. In this section, the baseband complexity of FFT and mixed-radix DFT is compared.</w:t>
      </w:r>
    </w:p>
    <w:p w:rsidR="00D47F43" w:rsidRDefault="00D47F43" w:rsidP="00405CF3">
      <w:pPr>
        <w:snapToGrid w:val="0"/>
        <w:spacing w:line="276" w:lineRule="auto"/>
        <w:jc w:val="both"/>
      </w:pPr>
    </w:p>
    <w:p w:rsidR="00597472" w:rsidRPr="0064190B" w:rsidRDefault="00597472" w:rsidP="00405CF3">
      <w:pPr>
        <w:snapToGrid w:val="0"/>
        <w:spacing w:line="276" w:lineRule="auto"/>
        <w:jc w:val="both"/>
      </w:pPr>
      <w:r>
        <w:lastRenderedPageBreak/>
        <w:t xml:space="preserve">The operation that has most impact on the baseband implementation complexity is the complex multiplication (CM). Therefore, the number of required complex multiplications </w:t>
      </w:r>
      <w:r w:rsidR="00405CF3">
        <w:t>is</w:t>
      </w:r>
      <w:r>
        <w:t xml:space="preserve"> compared for the different FFT/DFT sizes. </w:t>
      </w:r>
      <w:r w:rsidR="00405CF3">
        <w:t xml:space="preserve"> </w:t>
      </w:r>
      <w:r>
        <w:t>This gives a good indication for the relative DFT complexity for the candidate numerologies.</w:t>
      </w:r>
      <w:r w:rsidR="00405CF3">
        <w:t xml:space="preserve"> </w:t>
      </w:r>
      <w:r>
        <w:t xml:space="preserve">In </w:t>
      </w:r>
      <w:fldSimple w:instr=" REF _Ref450911398 \n \h  \* MERGEFORMAT ">
        <w:r w:rsidR="00290D4A">
          <w:t>[7]</w:t>
        </w:r>
      </w:fldSimple>
      <w:r w:rsidR="00F86722">
        <w:t xml:space="preserve">, </w:t>
      </w:r>
      <w:r>
        <w:t xml:space="preserve">it is shown that the a DFT that an upper bound for the required complex multiplications of an N-point DFT is described by:  </w:t>
      </w:r>
    </w:p>
    <w:p w:rsidR="00597472" w:rsidRDefault="00D035BD" w:rsidP="00405CF3">
      <w:pPr>
        <w:snapToGrid w:val="0"/>
        <w:spacing w:line="276" w:lineRule="auto"/>
        <w:jc w:val="center"/>
        <w:rPr>
          <w:position w:val="-32"/>
          <w:lang w:val="en-GB"/>
        </w:rPr>
      </w:pPr>
      <w:r w:rsidRPr="00F512C7">
        <w:rPr>
          <w:position w:val="-32"/>
          <w:lang w:val="en-GB"/>
        </w:rPr>
        <w:object w:dxaOrig="30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6pt" o:ole="">
            <v:imagedata r:id="rId10" o:title=""/>
          </v:shape>
          <o:OLEObject Type="Embed" ProgID="Equation.3" ShapeID="_x0000_i1025" DrawAspect="Content" ObjectID="_1524738258" r:id="rId11"/>
        </w:object>
      </w:r>
    </w:p>
    <w:p w:rsidR="00597472" w:rsidRDefault="00405CF3" w:rsidP="00405CF3">
      <w:pPr>
        <w:snapToGrid w:val="0"/>
        <w:spacing w:line="276" w:lineRule="auto"/>
        <w:jc w:val="both"/>
      </w:pPr>
      <w:r>
        <w:t>w</w:t>
      </w:r>
      <w:r w:rsidR="00597472" w:rsidRPr="0064190B">
        <w:t>here N</w:t>
      </w:r>
      <w:r w:rsidR="00597472" w:rsidRPr="0064190B">
        <w:rPr>
          <w:vertAlign w:val="subscript"/>
        </w:rPr>
        <w:t>i</w:t>
      </w:r>
      <w:r w:rsidR="00597472" w:rsidRPr="0064190B">
        <w:t xml:space="preserve"> is a multiplier of N</w:t>
      </w:r>
      <w:r w:rsidR="00597472">
        <w:t xml:space="preserve"> and </w:t>
      </w:r>
      <w:r w:rsidR="00597472" w:rsidRPr="0064190B">
        <w:rPr>
          <w:rFonts w:ascii="Symbol" w:hAnsi="Symbol"/>
        </w:rPr>
        <w:t></w:t>
      </w:r>
      <w:r w:rsidR="00597472">
        <w:t>(N</w:t>
      </w:r>
      <w:r w:rsidR="00597472" w:rsidRPr="0064190B">
        <w:rPr>
          <w:vertAlign w:val="subscript"/>
        </w:rPr>
        <w:t>i</w:t>
      </w:r>
      <w:r w:rsidR="00597472">
        <w:t xml:space="preserve">) denotes the required CMs for an Ni-point DFT. We are using an implementation for the DFT of the prime-factor resulting in 0 CMs for a 2-point DFT, and 4 CMs for a 3-point and 5-point DFT, i.e. </w:t>
      </w:r>
      <w:r w:rsidR="00597472" w:rsidRPr="0064190B">
        <w:rPr>
          <w:rFonts w:ascii="Symbol" w:hAnsi="Symbol"/>
        </w:rPr>
        <w:t></w:t>
      </w:r>
      <w:r w:rsidR="00597472">
        <w:t xml:space="preserve">(2)=0, </w:t>
      </w:r>
      <w:r w:rsidR="00597472" w:rsidRPr="0064190B">
        <w:rPr>
          <w:rFonts w:ascii="Symbol" w:hAnsi="Symbol"/>
        </w:rPr>
        <w:t></w:t>
      </w:r>
      <w:r w:rsidR="00597472">
        <w:t xml:space="preserve">(3)= </w:t>
      </w:r>
      <w:r w:rsidR="00597472" w:rsidRPr="0064190B">
        <w:rPr>
          <w:rFonts w:ascii="Symbol" w:hAnsi="Symbol"/>
        </w:rPr>
        <w:t></w:t>
      </w:r>
      <w:r w:rsidR="00597472">
        <w:t>(5)=4.</w:t>
      </w:r>
    </w:p>
    <w:p w:rsidR="00405CF3" w:rsidRDefault="00405CF3" w:rsidP="00405CF3">
      <w:pPr>
        <w:snapToGrid w:val="0"/>
        <w:spacing w:line="276" w:lineRule="auto"/>
        <w:jc w:val="both"/>
      </w:pPr>
    </w:p>
    <w:p w:rsidR="00597472" w:rsidRDefault="00597472" w:rsidP="00405CF3">
      <w:pPr>
        <w:snapToGrid w:val="0"/>
        <w:spacing w:line="276" w:lineRule="auto"/>
        <w:jc w:val="both"/>
      </w:pPr>
      <w:r>
        <w:t>The required CMs for the different candidate numerologies are then calculated to:</w:t>
      </w:r>
    </w:p>
    <w:p w:rsidR="00597472" w:rsidRDefault="00597472" w:rsidP="00597472">
      <w:pPr>
        <w:jc w:val="center"/>
      </w:pPr>
      <w:r>
        <w:rPr>
          <w:noProof/>
        </w:rPr>
        <w:drawing>
          <wp:inline distT="0" distB="0" distL="0" distR="0">
            <wp:extent cx="4080510" cy="97599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080510" cy="975995"/>
                    </a:xfrm>
                    <a:prstGeom prst="rect">
                      <a:avLst/>
                    </a:prstGeom>
                    <a:noFill/>
                    <a:ln w="9525">
                      <a:noFill/>
                      <a:miter lim="800000"/>
                      <a:headEnd/>
                      <a:tailEnd/>
                    </a:ln>
                  </pic:spPr>
                </pic:pic>
              </a:graphicData>
            </a:graphic>
          </wp:inline>
        </w:drawing>
      </w:r>
    </w:p>
    <w:p w:rsidR="00597472" w:rsidRDefault="00597472" w:rsidP="00597472"/>
    <w:p w:rsidR="00597472" w:rsidRDefault="00597472" w:rsidP="00DE1BBC">
      <w:pPr>
        <w:snapToGrid w:val="0"/>
        <w:jc w:val="both"/>
      </w:pPr>
      <w:r>
        <w:t>Thus, the 1800-point DFT requires just 28% more CMs than the 2048 points FFT. In R1-162159, it was stated that a 2048-point FFT consumes about 5% of the total baseband power. Thus, an increase of 28% of this 5% seems tolerable.</w:t>
      </w:r>
    </w:p>
    <w:p w:rsidR="00DE1BBC" w:rsidRPr="00597472" w:rsidRDefault="00DE1BBC" w:rsidP="00DE1BBC">
      <w:pPr>
        <w:snapToGrid w:val="0"/>
        <w:jc w:val="both"/>
        <w:rPr>
          <w:lang w:val="en-GB" w:eastAsia="en-US"/>
        </w:rPr>
      </w:pPr>
    </w:p>
    <w:p w:rsidR="00BD2134" w:rsidRDefault="00BD2134" w:rsidP="00DE1BBC">
      <w:pPr>
        <w:snapToGrid w:val="0"/>
        <w:jc w:val="both"/>
      </w:pPr>
      <w:r>
        <w:t>Scalability:</w:t>
      </w:r>
    </w:p>
    <w:p w:rsidR="00597472" w:rsidRDefault="00BD2134" w:rsidP="00DE1BBC">
      <w:pPr>
        <w:snapToGrid w:val="0"/>
        <w:jc w:val="both"/>
      </w:pPr>
      <w:r>
        <w:t>Narrower DFTs with the same SCS can be created easily. The 1800-point DFT</w:t>
      </w:r>
      <w:r w:rsidR="004A4E34">
        <w:t>,</w:t>
      </w:r>
      <w:r>
        <w:t xml:space="preserve"> for instance</w:t>
      </w:r>
      <w:r w:rsidR="004A4E34">
        <w:t>,</w:t>
      </w:r>
      <w:r>
        <w:t xml:space="preserve"> is built up from multiples of 2,3, and 5. Thus a 900, a 450 or 225 points DFT covering ½</w:t>
      </w:r>
      <w:r w:rsidR="00D32251">
        <w:t xml:space="preserve"> (e.g. 10 MHz)</w:t>
      </w:r>
      <w:r>
        <w:t xml:space="preserve">, ¼ </w:t>
      </w:r>
      <w:r w:rsidR="00D32251">
        <w:t xml:space="preserve">(e.g. 5 MHz) </w:t>
      </w:r>
      <w:r>
        <w:t>or 1/8</w:t>
      </w:r>
      <w:r w:rsidR="00D32251">
        <w:t xml:space="preserve"> (e.g. 2.5 MHz)</w:t>
      </w:r>
      <w:r>
        <w:t xml:space="preserve"> o</w:t>
      </w:r>
      <w:r w:rsidR="00D32251">
        <w:t>f</w:t>
      </w:r>
      <w:r>
        <w:t xml:space="preserve"> the original band</w:t>
      </w:r>
      <w:r w:rsidR="00D32251">
        <w:t xml:space="preserve"> (e.g. 20 MHz)</w:t>
      </w:r>
      <w:r>
        <w:t xml:space="preserve"> can easily be realized. Also other bandwidth decimation factors by 1/3 or 1/5 can be utilized.</w:t>
      </w:r>
    </w:p>
    <w:p w:rsidR="005F4E14" w:rsidRPr="00BD2134" w:rsidRDefault="005F4E14" w:rsidP="00DE1BBC">
      <w:pPr>
        <w:pStyle w:val="Caption"/>
        <w:snapToGrid w:val="0"/>
        <w:jc w:val="both"/>
      </w:pPr>
      <w:r>
        <w:t xml:space="preserve">Observation </w:t>
      </w:r>
      <w:r w:rsidR="0035128A">
        <w:fldChar w:fldCharType="begin"/>
      </w:r>
      <w:r w:rsidR="00F317AB">
        <w:instrText xml:space="preserve"> SEQ Observation \* ARABIC </w:instrText>
      </w:r>
      <w:r w:rsidR="0035128A">
        <w:fldChar w:fldCharType="separate"/>
      </w:r>
      <w:r w:rsidR="00290D4A">
        <w:rPr>
          <w:noProof/>
        </w:rPr>
        <w:t>2</w:t>
      </w:r>
      <w:r w:rsidR="0035128A">
        <w:fldChar w:fldCharType="end"/>
      </w:r>
      <w:r>
        <w:t xml:space="preserve">: Mixed-radix DFT complexity is not more than 28% higher than FFT. Mixed-radix DFT provides additional flexibility. </w:t>
      </w:r>
    </w:p>
    <w:p w:rsidR="007F3EF2" w:rsidRDefault="006F75D8" w:rsidP="007F3EF2">
      <w:pPr>
        <w:numPr>
          <w:ilvl w:val="0"/>
          <w:numId w:val="1"/>
        </w:numPr>
        <w:ind w:left="357" w:hanging="357"/>
        <w:rPr>
          <w:b/>
          <w:sz w:val="30"/>
          <w:szCs w:val="30"/>
        </w:rPr>
      </w:pPr>
      <w:r>
        <w:rPr>
          <w:b/>
          <w:sz w:val="30"/>
          <w:szCs w:val="30"/>
        </w:rPr>
        <w:t>N</w:t>
      </w:r>
      <w:r w:rsidR="00B93518">
        <w:rPr>
          <w:b/>
          <w:sz w:val="30"/>
          <w:szCs w:val="30"/>
        </w:rPr>
        <w:t>umerology candidate forward compatibility</w:t>
      </w:r>
      <w:bookmarkEnd w:id="4"/>
    </w:p>
    <w:p w:rsidR="001810C5" w:rsidRDefault="001810C5" w:rsidP="00DE1BBC">
      <w:pPr>
        <w:snapToGrid w:val="0"/>
        <w:spacing w:line="276" w:lineRule="auto"/>
        <w:jc w:val="both"/>
      </w:pPr>
      <w:r>
        <w:t>The SID lists inherent forward compatibility as an explicit main requirement for NR</w:t>
      </w:r>
      <w:r w:rsidR="00F5746C">
        <w:t xml:space="preserve"> </w:t>
      </w:r>
      <w:fldSimple w:instr=" REF _Ref450850314 \r \h  \* MERGEFORMAT ">
        <w:r w:rsidR="00290D4A">
          <w:t>[1]</w:t>
        </w:r>
      </w:fldSimple>
      <w:r>
        <w:t xml:space="preserve">. Even though it is difficult to assess forward compatibility, it is essential that forward compatibility is evaluated for all numerology candidates. </w:t>
      </w:r>
    </w:p>
    <w:p w:rsidR="00DE1BBC" w:rsidRDefault="00DE1BBC" w:rsidP="00DE1BBC">
      <w:pPr>
        <w:snapToGrid w:val="0"/>
        <w:spacing w:line="276" w:lineRule="auto"/>
        <w:jc w:val="both"/>
      </w:pPr>
    </w:p>
    <w:p w:rsidR="001810C5" w:rsidRDefault="001810C5" w:rsidP="00DE1BBC">
      <w:pPr>
        <w:snapToGrid w:val="0"/>
        <w:spacing w:line="276" w:lineRule="auto"/>
        <w:jc w:val="both"/>
      </w:pPr>
      <w:r>
        <w:t xml:space="preserve">There are many aspects of numerology and frame structure that are related to forward compatibility. These are discussed in some more detail in the companion contribution </w:t>
      </w:r>
      <w:fldSimple w:instr=" REF _Ref450688877 \r \h  \* MERGEFORMAT ">
        <w:r w:rsidR="00290D4A">
          <w:t>[5]</w:t>
        </w:r>
      </w:fldSimple>
      <w:r w:rsidR="00F5746C">
        <w:t>. Here, we list a few aspects that differ between the numerology candidates.</w:t>
      </w:r>
    </w:p>
    <w:p w:rsidR="00DE1BBC" w:rsidRDefault="00DE1BBC" w:rsidP="00DE1BBC">
      <w:pPr>
        <w:snapToGrid w:val="0"/>
        <w:spacing w:line="276" w:lineRule="auto"/>
        <w:jc w:val="both"/>
      </w:pPr>
    </w:p>
    <w:p w:rsidR="00F5746C" w:rsidRDefault="00F5746C" w:rsidP="00DE1BBC">
      <w:pPr>
        <w:snapToGrid w:val="0"/>
        <w:spacing w:line="276" w:lineRule="auto"/>
        <w:jc w:val="both"/>
      </w:pPr>
      <w:r>
        <w:t>First, we consider the time domain structure of the numerology candidates, without scaling:</w:t>
      </w:r>
    </w:p>
    <w:p w:rsidR="00F5746C" w:rsidRDefault="00F5746C" w:rsidP="00DE1BBC">
      <w:pPr>
        <w:pStyle w:val="ListParagraph"/>
        <w:numPr>
          <w:ilvl w:val="0"/>
          <w:numId w:val="30"/>
        </w:numPr>
        <w:snapToGrid w:val="0"/>
        <w:spacing w:line="276" w:lineRule="auto"/>
        <w:ind w:firstLineChars="0"/>
        <w:jc w:val="both"/>
      </w:pPr>
      <w:r>
        <w:t>Alt 1N: 7 symbols per 0.5 ms, of non-uniform duration, the first symbol is slightly longer than the other symbols.</w:t>
      </w:r>
    </w:p>
    <w:p w:rsidR="00F5746C" w:rsidRDefault="00F5746C" w:rsidP="00DE1BBC">
      <w:pPr>
        <w:pStyle w:val="ListParagraph"/>
        <w:numPr>
          <w:ilvl w:val="0"/>
          <w:numId w:val="30"/>
        </w:numPr>
        <w:snapToGrid w:val="0"/>
        <w:spacing w:line="276" w:lineRule="auto"/>
        <w:ind w:firstLineChars="0"/>
        <w:jc w:val="both"/>
      </w:pPr>
      <w:r>
        <w:t>Alt 1E: 6 symbols per 0.5 ms, of uniform duration</w:t>
      </w:r>
    </w:p>
    <w:p w:rsidR="00F5746C" w:rsidRDefault="00F5746C" w:rsidP="00DE1BBC">
      <w:pPr>
        <w:pStyle w:val="ListParagraph"/>
        <w:numPr>
          <w:ilvl w:val="0"/>
          <w:numId w:val="30"/>
        </w:numPr>
        <w:snapToGrid w:val="0"/>
        <w:spacing w:line="276" w:lineRule="auto"/>
        <w:ind w:firstLineChars="0"/>
        <w:jc w:val="both"/>
      </w:pPr>
      <w:r>
        <w:t>Alt 2-4: 8 symbols per 0.5 ms, of uniform duration</w:t>
      </w:r>
    </w:p>
    <w:p w:rsidR="00F5746C" w:rsidRDefault="007208A2" w:rsidP="00DE1BBC">
      <w:pPr>
        <w:snapToGrid w:val="0"/>
        <w:spacing w:line="276" w:lineRule="auto"/>
        <w:jc w:val="both"/>
      </w:pPr>
      <w:r>
        <w:t>As evident by the LTE study on latency reduction techniques, latency reduction by reducing the number of symbols per subframe may be required in the future. Fewer symbols per subframe may not be exclusive for future very-low latency applications, but could also be combined with future applications with long symbols (scaling below 1) and moderate latency requirements. Hence, it is essential that the NR numerology supports efficient multiplexing of subframes with few, e.g. 2, symbols per subframe.</w:t>
      </w:r>
    </w:p>
    <w:p w:rsidR="007208A2" w:rsidRDefault="00CB28C9" w:rsidP="00DE1BBC">
      <w:pPr>
        <w:snapToGrid w:val="0"/>
        <w:spacing w:line="276" w:lineRule="auto"/>
        <w:jc w:val="both"/>
      </w:pPr>
      <w:r>
        <w:lastRenderedPageBreak/>
        <w:t xml:space="preserve">Alt 2-4 offer a smooth way to reduce the number of symbols per subframe by factors of 2, while maintaining efficient multiplexing of different subframe durations and scaling factors. </w:t>
      </w:r>
      <w:r w:rsidR="007208A2">
        <w:t xml:space="preserve"> </w:t>
      </w:r>
    </w:p>
    <w:p w:rsidR="00DE1BBC" w:rsidRDefault="00DE1BBC" w:rsidP="00DE1BBC">
      <w:pPr>
        <w:snapToGrid w:val="0"/>
        <w:spacing w:line="276" w:lineRule="auto"/>
        <w:jc w:val="both"/>
      </w:pPr>
    </w:p>
    <w:p w:rsidR="00CB28C9" w:rsidRDefault="00CB28C9" w:rsidP="00DE1BBC">
      <w:pPr>
        <w:snapToGrid w:val="0"/>
        <w:spacing w:line="276" w:lineRule="auto"/>
        <w:jc w:val="both"/>
      </w:pPr>
      <w:r>
        <w:t xml:space="preserve">The non-uniform symbols in 1N may introduce </w:t>
      </w:r>
      <w:r w:rsidR="00D47F43">
        <w:t>various</w:t>
      </w:r>
      <w:r>
        <w:t xml:space="preserve"> problems in the future. For instance, consider the multiplexing of a 4-symbol subframe with</w:t>
      </w:r>
      <w:r w:rsidR="0088712A">
        <w:t xml:space="preserve"> scaling</w:t>
      </w:r>
      <w:r>
        <w:t xml:space="preserve"> M=2</w:t>
      </w:r>
      <w:r w:rsidR="0088712A">
        <w:t xml:space="preserve"> with a 2-symbol subframe with scaling M=1. Assuming that both subframes have the 1</w:t>
      </w:r>
      <w:r w:rsidR="0088712A" w:rsidRPr="0088712A">
        <w:rPr>
          <w:vertAlign w:val="superscript"/>
        </w:rPr>
        <w:t>st</w:t>
      </w:r>
      <w:r w:rsidR="0088712A">
        <w:t xml:space="preserve"> symbol slightly longer, the 2-symbol subframe with M=1 is slightly longer </w:t>
      </w:r>
      <w:r w:rsidR="00D47F43">
        <w:t>(</w:t>
      </w:r>
      <w:r w:rsidR="004737F9">
        <w:t>14.323 us</w:t>
      </w:r>
      <w:r w:rsidR="00D47F43">
        <w:t xml:space="preserve">) </w:t>
      </w:r>
      <w:r w:rsidR="0088712A">
        <w:t>than the 4-symbol subframe with M=2</w:t>
      </w:r>
      <w:r w:rsidR="004737F9">
        <w:t xml:space="preserve"> (14.297 us)</w:t>
      </w:r>
      <w:r w:rsidR="0088712A">
        <w:t xml:space="preserve">. </w:t>
      </w:r>
      <w:r w:rsidR="004737F9">
        <w:t>Furthermore, i</w:t>
      </w:r>
      <w:r w:rsidR="0088712A">
        <w:t xml:space="preserve">t is </w:t>
      </w:r>
      <w:r w:rsidR="00F40059">
        <w:t>desirable to have an integer numb</w:t>
      </w:r>
      <w:r w:rsidR="006C6BA6">
        <w:t>er of NR subframes per 1 ms, for instance due to tight inter-working with LTE. However, this is not the case with 3 or 4 symbol subframes in Alt 1N.</w:t>
      </w:r>
    </w:p>
    <w:p w:rsidR="00DE1BBC" w:rsidRDefault="00DE1BBC" w:rsidP="00DE1BBC">
      <w:pPr>
        <w:snapToGrid w:val="0"/>
        <w:spacing w:line="276" w:lineRule="auto"/>
        <w:jc w:val="both"/>
      </w:pPr>
    </w:p>
    <w:p w:rsidR="00F5746C" w:rsidRDefault="00C2522F" w:rsidP="00DE1BBC">
      <w:pPr>
        <w:pStyle w:val="Caption"/>
        <w:snapToGrid w:val="0"/>
        <w:spacing w:before="0" w:after="0" w:line="276" w:lineRule="auto"/>
        <w:jc w:val="both"/>
      </w:pPr>
      <w:r>
        <w:t xml:space="preserve">Observation </w:t>
      </w:r>
      <w:r w:rsidR="0035128A">
        <w:fldChar w:fldCharType="begin"/>
      </w:r>
      <w:r w:rsidR="00F317AB">
        <w:instrText xml:space="preserve"> SEQ Observation \* ARABIC </w:instrText>
      </w:r>
      <w:r w:rsidR="0035128A">
        <w:fldChar w:fldCharType="separate"/>
      </w:r>
      <w:r w:rsidR="00290D4A">
        <w:rPr>
          <w:noProof/>
        </w:rPr>
        <w:t>3</w:t>
      </w:r>
      <w:r w:rsidR="0035128A">
        <w:fldChar w:fldCharType="end"/>
      </w:r>
      <w:r>
        <w:t xml:space="preserve">: Alt 2-4 have </w:t>
      </w:r>
      <w:r w:rsidR="004A4E34">
        <w:t>better</w:t>
      </w:r>
      <w:r>
        <w:t xml:space="preserve"> forward compatibility </w:t>
      </w:r>
      <w:r w:rsidR="00551793">
        <w:t>for a</w:t>
      </w:r>
      <w:r>
        <w:t xml:space="preserve"> smooth evolution to </w:t>
      </w:r>
      <w:r w:rsidR="00551793">
        <w:t>fewer symbols per subframe.</w:t>
      </w:r>
    </w:p>
    <w:p w:rsidR="00DE1BBC" w:rsidRDefault="00DE1BBC" w:rsidP="00DE1BBC">
      <w:pPr>
        <w:snapToGrid w:val="0"/>
        <w:spacing w:line="276" w:lineRule="auto"/>
        <w:jc w:val="both"/>
        <w:rPr>
          <w:lang w:val="en-GB"/>
        </w:rPr>
      </w:pPr>
    </w:p>
    <w:p w:rsidR="006C6BA6" w:rsidRDefault="006C6BA6" w:rsidP="00DE1BBC">
      <w:pPr>
        <w:snapToGrid w:val="0"/>
        <w:spacing w:line="276" w:lineRule="auto"/>
        <w:jc w:val="both"/>
      </w:pPr>
      <w:r>
        <w:t xml:space="preserve">Secondly, the possible future smooth introduction of new CP durations is considered. A new CP duration may target new deployment scenarios, new applications or something unforeseen. A new CP duration may primarily target a scaled numerology, so that the effective CP is scaled up or down with M. For instance, very high scalings, e.g. M=8, 16, 32, may require significantly larger (unscaled) CP duration, in order to provide a sufficiently long </w:t>
      </w:r>
      <w:r w:rsidR="00DF5027">
        <w:t>down</w:t>
      </w:r>
      <w:r>
        <w:t>scaled CP</w:t>
      </w:r>
      <w:r w:rsidR="00DF5027">
        <w:t xml:space="preserve"> duration</w:t>
      </w:r>
      <w:r>
        <w:t xml:space="preserve">. In another example, </w:t>
      </w:r>
      <w:r w:rsidR="00DF5027">
        <w:t xml:space="preserve">in future applications with low scalings, e.g. M=1/8, it may be beneficial to introduce a shorter (unscaled) CP duration, in order to provide a suitably long upscaled CP duration, with reduced CP overhead. In order to be able to smoothly introduce tailored CP durations in the future without changing the unscaled OFDM symbol duration a mixed-radix DFT (e.g. </w:t>
      </w:r>
      <w:r w:rsidR="00DF5027">
        <w:rPr>
          <w:rFonts w:eastAsia="SimSun"/>
        </w:rPr>
        <w:t>2</w:t>
      </w:r>
      <w:r w:rsidR="00DF5027" w:rsidRPr="001F5122">
        <w:rPr>
          <w:rFonts w:eastAsia="SimSun"/>
          <w:vertAlign w:val="superscript"/>
        </w:rPr>
        <w:t>a</w:t>
      </w:r>
      <w:r w:rsidR="00DF5027">
        <w:rPr>
          <w:rFonts w:eastAsia="SimSun"/>
        </w:rPr>
        <w:t>3</w:t>
      </w:r>
      <w:r w:rsidR="00DF5027" w:rsidRPr="001F5122">
        <w:rPr>
          <w:rFonts w:eastAsia="SimSun"/>
          <w:vertAlign w:val="superscript"/>
        </w:rPr>
        <w:t>b</w:t>
      </w:r>
      <w:r w:rsidR="00DF5027">
        <w:rPr>
          <w:rFonts w:eastAsia="SimSun"/>
        </w:rPr>
        <w:t>5</w:t>
      </w:r>
      <w:r w:rsidR="00DF5027" w:rsidRPr="001F5122">
        <w:rPr>
          <w:rFonts w:eastAsia="SimSun"/>
          <w:vertAlign w:val="superscript"/>
        </w:rPr>
        <w:t>c</w:t>
      </w:r>
      <w:r w:rsidR="00DF5027">
        <w:t>) approach sh</w:t>
      </w:r>
      <w:r w:rsidR="00C2522F">
        <w:t>ould be used.</w:t>
      </w:r>
    </w:p>
    <w:p w:rsidR="00DE1BBC" w:rsidRDefault="00DE1BBC" w:rsidP="00DE1BBC">
      <w:pPr>
        <w:snapToGrid w:val="0"/>
        <w:spacing w:line="276" w:lineRule="auto"/>
        <w:jc w:val="both"/>
      </w:pPr>
    </w:p>
    <w:p w:rsidR="00551793" w:rsidRDefault="00551793" w:rsidP="00DE1BBC">
      <w:pPr>
        <w:pStyle w:val="Caption"/>
        <w:snapToGrid w:val="0"/>
        <w:spacing w:before="0" w:after="240" w:line="276" w:lineRule="auto"/>
        <w:jc w:val="both"/>
      </w:pPr>
      <w:r>
        <w:t xml:space="preserve">Proposal </w:t>
      </w:r>
      <w:r w:rsidR="0035128A">
        <w:fldChar w:fldCharType="begin"/>
      </w:r>
      <w:r w:rsidR="00F317AB">
        <w:instrText xml:space="preserve"> SEQ Proposal \* ARABIC </w:instrText>
      </w:r>
      <w:r w:rsidR="0035128A">
        <w:fldChar w:fldCharType="separate"/>
      </w:r>
      <w:r w:rsidR="00290D4A">
        <w:rPr>
          <w:noProof/>
        </w:rPr>
        <w:t>1</w:t>
      </w:r>
      <w:r w:rsidR="0035128A">
        <w:fldChar w:fldCharType="end"/>
      </w:r>
      <w:r>
        <w:t xml:space="preserve">: A mixed-radix DFT approach should be adopted, </w:t>
      </w:r>
      <w:r w:rsidR="00655C31">
        <w:t>so that a</w:t>
      </w:r>
      <w:r>
        <w:t xml:space="preserve"> smooth introduction of future </w:t>
      </w:r>
      <w:r w:rsidR="00655C31">
        <w:t>features and services that may require new unscaled CP durations is ensured, without changing the unscaled symbol durations or the frame structure.</w:t>
      </w:r>
    </w:p>
    <w:p w:rsidR="00116121" w:rsidRDefault="006F75D8" w:rsidP="00116121">
      <w:pPr>
        <w:numPr>
          <w:ilvl w:val="0"/>
          <w:numId w:val="1"/>
        </w:numPr>
        <w:ind w:left="357" w:hanging="357"/>
        <w:rPr>
          <w:b/>
          <w:sz w:val="30"/>
          <w:szCs w:val="30"/>
        </w:rPr>
      </w:pPr>
      <w:r>
        <w:rPr>
          <w:b/>
          <w:sz w:val="30"/>
          <w:szCs w:val="30"/>
        </w:rPr>
        <w:t>N</w:t>
      </w:r>
      <w:r w:rsidR="00B93518">
        <w:rPr>
          <w:b/>
          <w:sz w:val="30"/>
          <w:szCs w:val="30"/>
        </w:rPr>
        <w:t>umerology candidate co-existence with LTE/NB-IoT</w:t>
      </w:r>
      <w:r w:rsidR="00116121">
        <w:rPr>
          <w:b/>
          <w:sz w:val="30"/>
          <w:szCs w:val="30"/>
        </w:rPr>
        <w:t xml:space="preserve"> </w:t>
      </w:r>
    </w:p>
    <w:p w:rsidR="002602FA" w:rsidRDefault="00D226D6" w:rsidP="00DE1BBC">
      <w:pPr>
        <w:snapToGrid w:val="0"/>
        <w:spacing w:line="276" w:lineRule="auto"/>
        <w:jc w:val="both"/>
      </w:pPr>
      <w:r>
        <w:t xml:space="preserve">All numerology candidates offer co-existence with LTE and NB-IoT. The required guard-bands in various combinations depend on various factors such as the selected waveform for NR. </w:t>
      </w:r>
      <w:r w:rsidR="00C2522F">
        <w:t xml:space="preserve">This is discussed in more detail in our companion contribution </w:t>
      </w:r>
      <w:fldSimple w:instr=" REF _Ref450858278 \r \h  \* MERGEFORMAT ">
        <w:r w:rsidR="00290D4A">
          <w:t>[6]</w:t>
        </w:r>
      </w:fldSimple>
      <w:r w:rsidR="00C2522F">
        <w:t>.</w:t>
      </w:r>
    </w:p>
    <w:p w:rsidR="00DE1BBC" w:rsidRDefault="00DE1BBC" w:rsidP="00DE1BBC">
      <w:pPr>
        <w:snapToGrid w:val="0"/>
        <w:spacing w:line="276" w:lineRule="auto"/>
        <w:jc w:val="both"/>
      </w:pPr>
    </w:p>
    <w:p w:rsidR="00C2522F" w:rsidRDefault="00C2522F" w:rsidP="00DE1BBC">
      <w:pPr>
        <w:snapToGrid w:val="0"/>
        <w:spacing w:line="276" w:lineRule="auto"/>
        <w:jc w:val="both"/>
      </w:pPr>
      <w:r>
        <w:t>In some special configurations and depending on the selection of waveform for NR</w:t>
      </w:r>
      <w:r w:rsidR="00D226D6">
        <w:t>, Alt 1 may offer advantages in terms of co-exis</w:t>
      </w:r>
      <w:r>
        <w:t xml:space="preserve">tence with LTE. These configurations are based on that the NR transmissions next to LTE use the same numerology, symbols and frame structure as LTE. This imposes restrictions on the NR operation which may deteriorate performance, in particular for applications such as URLLC that rely on scaled numerologies. </w:t>
      </w:r>
    </w:p>
    <w:p w:rsidR="00DE1BBC" w:rsidRDefault="00DE1BBC" w:rsidP="00DE1BBC">
      <w:pPr>
        <w:snapToGrid w:val="0"/>
        <w:spacing w:line="276" w:lineRule="auto"/>
        <w:jc w:val="both"/>
      </w:pPr>
    </w:p>
    <w:p w:rsidR="00DE1BBC" w:rsidRDefault="00551793" w:rsidP="00DE1BBC">
      <w:pPr>
        <w:snapToGrid w:val="0"/>
        <w:spacing w:line="276" w:lineRule="auto"/>
        <w:jc w:val="both"/>
      </w:pPr>
      <w:r>
        <w:t xml:space="preserve">It is also important to note that no form of backwards compatibility to LTE is required in </w:t>
      </w:r>
      <w:fldSimple w:instr=" REF _Ref450850314 \r \h  \* MERGEFORMAT ">
        <w:r w:rsidR="00290D4A">
          <w:t>[1]</w:t>
        </w:r>
      </w:fldSimple>
      <w:r>
        <w:t>.</w:t>
      </w:r>
    </w:p>
    <w:p w:rsidR="00D226D6" w:rsidRDefault="00621FD4" w:rsidP="00DE1BBC">
      <w:pPr>
        <w:pStyle w:val="Caption"/>
        <w:snapToGrid w:val="0"/>
        <w:spacing w:before="0" w:after="240" w:line="276" w:lineRule="auto"/>
        <w:jc w:val="both"/>
      </w:pPr>
      <w:r>
        <w:t xml:space="preserve">Observation </w:t>
      </w:r>
      <w:r w:rsidR="0035128A">
        <w:fldChar w:fldCharType="begin"/>
      </w:r>
      <w:r w:rsidR="00F317AB">
        <w:instrText xml:space="preserve"> SEQ Observation \* ARABIC </w:instrText>
      </w:r>
      <w:r w:rsidR="0035128A">
        <w:fldChar w:fldCharType="separate"/>
      </w:r>
      <w:r w:rsidR="00290D4A">
        <w:rPr>
          <w:noProof/>
        </w:rPr>
        <w:t>4</w:t>
      </w:r>
      <w:r w:rsidR="0035128A">
        <w:fldChar w:fldCharType="end"/>
      </w:r>
      <w:r>
        <w:t>: All numerology candidates offer co-existence with LTE and NB-IoT.</w:t>
      </w:r>
    </w:p>
    <w:p w:rsidR="008A0730" w:rsidRDefault="00B93518" w:rsidP="008A0730">
      <w:pPr>
        <w:numPr>
          <w:ilvl w:val="0"/>
          <w:numId w:val="1"/>
        </w:numPr>
        <w:ind w:left="357" w:hanging="357"/>
        <w:rPr>
          <w:b/>
          <w:sz w:val="30"/>
          <w:szCs w:val="30"/>
        </w:rPr>
      </w:pPr>
      <w:r>
        <w:rPr>
          <w:b/>
          <w:sz w:val="30"/>
          <w:szCs w:val="30"/>
        </w:rPr>
        <w:t>Comparison summary</w:t>
      </w:r>
    </w:p>
    <w:p w:rsidR="004737F9" w:rsidRDefault="005F4E14" w:rsidP="00DE1BBC">
      <w:pPr>
        <w:snapToGrid w:val="0"/>
        <w:spacing w:line="276" w:lineRule="auto"/>
        <w:jc w:val="both"/>
      </w:pPr>
      <w:r>
        <w:t xml:space="preserve">Based </w:t>
      </w:r>
      <w:r w:rsidR="00F86722">
        <w:t>on the discussions above an in the companion contributions, we prefer a numerology based on 2</w:t>
      </w:r>
      <w:r w:rsidR="00F86722" w:rsidRPr="00F86722">
        <w:rPr>
          <w:vertAlign w:val="superscript"/>
        </w:rPr>
        <w:t>n</w:t>
      </w:r>
      <w:r w:rsidR="00F86722">
        <w:t xml:space="preserve"> symbols per 1 ms, for instance due to multiplexing efficiency, support of subframes few symbols and forward compatibility.</w:t>
      </w:r>
    </w:p>
    <w:p w:rsidR="00DE1BBC" w:rsidRDefault="00DE1BBC" w:rsidP="00DE1BBC">
      <w:pPr>
        <w:snapToGrid w:val="0"/>
        <w:spacing w:line="276" w:lineRule="auto"/>
        <w:jc w:val="both"/>
      </w:pPr>
    </w:p>
    <w:p w:rsidR="00F86722" w:rsidRDefault="00F86722" w:rsidP="00DE1BBC">
      <w:pPr>
        <w:pStyle w:val="Caption"/>
        <w:snapToGrid w:val="0"/>
        <w:spacing w:before="0" w:after="0" w:line="276" w:lineRule="auto"/>
        <w:jc w:val="both"/>
      </w:pPr>
      <w:r>
        <w:t xml:space="preserve">Proposal </w:t>
      </w:r>
      <w:r w:rsidR="0035128A">
        <w:fldChar w:fldCharType="begin"/>
      </w:r>
      <w:r w:rsidR="00F317AB">
        <w:instrText xml:space="preserve"> SEQ Proposal \* ARABIC </w:instrText>
      </w:r>
      <w:r w:rsidR="0035128A">
        <w:fldChar w:fldCharType="separate"/>
      </w:r>
      <w:r w:rsidR="00290D4A">
        <w:rPr>
          <w:noProof/>
        </w:rPr>
        <w:t>2</w:t>
      </w:r>
      <w:r w:rsidR="0035128A">
        <w:fldChar w:fldCharType="end"/>
      </w:r>
      <w:r w:rsidR="00DE1BBC">
        <w:t xml:space="preserve">: A numerology </w:t>
      </w:r>
      <w:r>
        <w:t>with 2</w:t>
      </w:r>
      <w:r w:rsidRPr="00F86722">
        <w:rPr>
          <w:vertAlign w:val="superscript"/>
        </w:rPr>
        <w:t>m</w:t>
      </w:r>
      <w:r>
        <w:t xml:space="preserve"> symbols (m </w:t>
      </w:r>
      <w:r w:rsidR="00DE1BBC">
        <w:t xml:space="preserve">is an </w:t>
      </w:r>
      <w:r>
        <w:t>integer) per subframe is adopted in NR.</w:t>
      </w:r>
    </w:p>
    <w:p w:rsidR="00DE1BBC" w:rsidRDefault="00DE1BBC" w:rsidP="00DE1BBC">
      <w:pPr>
        <w:snapToGrid w:val="0"/>
        <w:spacing w:line="276" w:lineRule="auto"/>
        <w:jc w:val="both"/>
        <w:rPr>
          <w:lang w:val="en-GB" w:eastAsia="en-US"/>
        </w:rPr>
      </w:pPr>
    </w:p>
    <w:p w:rsidR="00F86722" w:rsidRDefault="00F86722" w:rsidP="00DE1BBC">
      <w:pPr>
        <w:snapToGrid w:val="0"/>
        <w:spacing w:line="276" w:lineRule="auto"/>
        <w:jc w:val="both"/>
        <w:rPr>
          <w:lang w:val="en-GB" w:eastAsia="en-US"/>
        </w:rPr>
      </w:pPr>
      <w:r>
        <w:rPr>
          <w:lang w:val="en-GB" w:eastAsia="en-US"/>
        </w:rPr>
        <w:lastRenderedPageBreak/>
        <w:t>Furthermore, we see implementation benefits in keeping the LTE sampling rate for LTE bandwidths. The slightly increased complexity of mixed-radix DFT also comes with the benefit of increased flexibility and forward compatibility. Hence, we prefer Alt 3.</w:t>
      </w:r>
    </w:p>
    <w:p w:rsidR="00DE1BBC" w:rsidRDefault="00DE1BBC" w:rsidP="00DE1BBC">
      <w:pPr>
        <w:snapToGrid w:val="0"/>
        <w:spacing w:line="276" w:lineRule="auto"/>
        <w:jc w:val="both"/>
        <w:rPr>
          <w:lang w:val="en-GB" w:eastAsia="en-US"/>
        </w:rPr>
      </w:pPr>
    </w:p>
    <w:p w:rsidR="00F86722" w:rsidRPr="00F86722" w:rsidRDefault="00F86722" w:rsidP="00DE1BBC">
      <w:pPr>
        <w:pStyle w:val="Caption"/>
        <w:snapToGrid w:val="0"/>
        <w:spacing w:before="0" w:after="0" w:line="276" w:lineRule="auto"/>
        <w:jc w:val="both"/>
      </w:pPr>
      <w:r>
        <w:t xml:space="preserve">Proposal </w:t>
      </w:r>
      <w:r w:rsidR="0035128A">
        <w:fldChar w:fldCharType="begin"/>
      </w:r>
      <w:r w:rsidR="00F317AB">
        <w:instrText xml:space="preserve"> SEQ Proposal \* ARABIC </w:instrText>
      </w:r>
      <w:r w:rsidR="0035128A">
        <w:fldChar w:fldCharType="separate"/>
      </w:r>
      <w:r w:rsidR="00290D4A">
        <w:rPr>
          <w:noProof/>
        </w:rPr>
        <w:t>3</w:t>
      </w:r>
      <w:r w:rsidR="0035128A">
        <w:fldChar w:fldCharType="end"/>
      </w:r>
      <w:r>
        <w:t>: NR adopts numerologies based on Alt 3.</w:t>
      </w:r>
    </w:p>
    <w:p w:rsidR="00AC4AAA" w:rsidRDefault="00A569A4" w:rsidP="00AC4AAA">
      <w:pPr>
        <w:numPr>
          <w:ilvl w:val="0"/>
          <w:numId w:val="1"/>
        </w:numPr>
        <w:ind w:left="357" w:hanging="357"/>
        <w:rPr>
          <w:b/>
          <w:sz w:val="30"/>
          <w:szCs w:val="30"/>
        </w:rPr>
      </w:pPr>
      <w:r>
        <w:rPr>
          <w:b/>
          <w:sz w:val="30"/>
          <w:szCs w:val="30"/>
        </w:rPr>
        <w:t>Conclusions</w:t>
      </w:r>
    </w:p>
    <w:p w:rsidR="005F4E14" w:rsidRPr="00F3769F" w:rsidRDefault="005F4E14" w:rsidP="00DE1BBC">
      <w:pPr>
        <w:pStyle w:val="ListParagraph"/>
        <w:numPr>
          <w:ilvl w:val="0"/>
          <w:numId w:val="34"/>
        </w:numPr>
        <w:snapToGrid w:val="0"/>
        <w:spacing w:line="276" w:lineRule="auto"/>
        <w:ind w:firstLineChars="0"/>
        <w:rPr>
          <w:b/>
        </w:rPr>
      </w:pPr>
      <w:r w:rsidRPr="00F3769F">
        <w:rPr>
          <w:b/>
        </w:rPr>
        <w:t>Observation 1: Alt 1 (NCP) 15 kHz and Alt 3 17.07 kHz have similar performance, also for very long DS. Alt 3 outperforms Alt 1 when achieving low-latency subframes (0.125 ms) at very long DS.</w:t>
      </w:r>
    </w:p>
    <w:p w:rsidR="005F4E14" w:rsidRPr="00F3769F" w:rsidRDefault="005F4E14" w:rsidP="00DE1BBC">
      <w:pPr>
        <w:pStyle w:val="ListParagraph"/>
        <w:numPr>
          <w:ilvl w:val="0"/>
          <w:numId w:val="34"/>
        </w:numPr>
        <w:snapToGrid w:val="0"/>
        <w:spacing w:line="276" w:lineRule="auto"/>
        <w:ind w:firstLineChars="0"/>
        <w:rPr>
          <w:b/>
        </w:rPr>
      </w:pPr>
      <w:r w:rsidRPr="00F3769F">
        <w:rPr>
          <w:b/>
        </w:rPr>
        <w:t>Observation 2: Mixed-radix DFT complexity is not more than 28% higher than FFT. Mixed-radix DFT provides additional flexibility.</w:t>
      </w:r>
    </w:p>
    <w:p w:rsidR="005F4E14" w:rsidRPr="00F3769F" w:rsidRDefault="005F4E14" w:rsidP="00DE1BBC">
      <w:pPr>
        <w:pStyle w:val="ListParagraph"/>
        <w:numPr>
          <w:ilvl w:val="0"/>
          <w:numId w:val="34"/>
        </w:numPr>
        <w:snapToGrid w:val="0"/>
        <w:spacing w:line="276" w:lineRule="auto"/>
        <w:ind w:firstLineChars="0"/>
        <w:rPr>
          <w:b/>
        </w:rPr>
      </w:pPr>
      <w:r w:rsidRPr="00F3769F">
        <w:rPr>
          <w:b/>
        </w:rPr>
        <w:t>Observation 3: Alt 2-4 have better forward compatibility for a smooth evolution to fewer symbols per subframe.</w:t>
      </w:r>
    </w:p>
    <w:p w:rsidR="005F4E14" w:rsidRPr="00F3769F" w:rsidRDefault="005F4E14" w:rsidP="00DE1BBC">
      <w:pPr>
        <w:pStyle w:val="ListParagraph"/>
        <w:numPr>
          <w:ilvl w:val="0"/>
          <w:numId w:val="34"/>
        </w:numPr>
        <w:snapToGrid w:val="0"/>
        <w:spacing w:line="276" w:lineRule="auto"/>
        <w:ind w:firstLineChars="0"/>
        <w:rPr>
          <w:b/>
        </w:rPr>
      </w:pPr>
      <w:r w:rsidRPr="00F3769F">
        <w:rPr>
          <w:b/>
        </w:rPr>
        <w:t>Proposal 1: A mixed-radix DFT approach should be adopted, so that a smooth introduction of future features and services that may require new unscaled CP durations is ensured, without changing the unscaled symbol durations or the frame structure.</w:t>
      </w:r>
    </w:p>
    <w:p w:rsidR="005F4E14" w:rsidRPr="00F3769F" w:rsidRDefault="005F4E14" w:rsidP="00DE1BBC">
      <w:pPr>
        <w:pStyle w:val="Caption"/>
        <w:numPr>
          <w:ilvl w:val="0"/>
          <w:numId w:val="34"/>
        </w:numPr>
        <w:snapToGrid w:val="0"/>
        <w:spacing w:before="0" w:after="0" w:line="276" w:lineRule="auto"/>
      </w:pPr>
      <w:r w:rsidRPr="00F3769F">
        <w:t>Observation 4: All numerology candidates offer co-existence with LTE and NB-IoT.</w:t>
      </w:r>
    </w:p>
    <w:p w:rsidR="005F4E14" w:rsidRPr="00F3769F" w:rsidRDefault="00F86722" w:rsidP="00DE1BBC">
      <w:pPr>
        <w:pStyle w:val="ListParagraph"/>
        <w:numPr>
          <w:ilvl w:val="0"/>
          <w:numId w:val="34"/>
        </w:numPr>
        <w:snapToGrid w:val="0"/>
        <w:spacing w:line="276" w:lineRule="auto"/>
        <w:ind w:firstLineChars="0"/>
        <w:rPr>
          <w:b/>
        </w:rPr>
      </w:pPr>
      <w:r w:rsidRPr="00F3769F">
        <w:rPr>
          <w:b/>
        </w:rPr>
        <w:t>Proposal 2: A numerology with 2</w:t>
      </w:r>
      <w:r w:rsidRPr="00F3769F">
        <w:rPr>
          <w:b/>
          <w:vertAlign w:val="superscript"/>
        </w:rPr>
        <w:t>m</w:t>
      </w:r>
      <w:r w:rsidRPr="00F3769F">
        <w:rPr>
          <w:b/>
        </w:rPr>
        <w:t xml:space="preserve"> symbols (m </w:t>
      </w:r>
      <w:r w:rsidR="00DE1BBC" w:rsidRPr="00F3769F">
        <w:rPr>
          <w:b/>
        </w:rPr>
        <w:t xml:space="preserve">is an </w:t>
      </w:r>
      <w:r w:rsidRPr="00F3769F">
        <w:rPr>
          <w:b/>
        </w:rPr>
        <w:t>integer) per subframe is adopted in NR.</w:t>
      </w:r>
    </w:p>
    <w:p w:rsidR="005F4E14" w:rsidRPr="00F3769F" w:rsidRDefault="00F86722" w:rsidP="00DE1BBC">
      <w:pPr>
        <w:pStyle w:val="Caption"/>
        <w:numPr>
          <w:ilvl w:val="0"/>
          <w:numId w:val="34"/>
        </w:numPr>
        <w:snapToGrid w:val="0"/>
        <w:spacing w:before="0" w:after="0" w:line="276" w:lineRule="auto"/>
      </w:pPr>
      <w:r w:rsidRPr="00F3769F">
        <w:t>Proposal 3: NR adopts numerologies based on Alt 3.</w:t>
      </w:r>
    </w:p>
    <w:p w:rsidR="00A569A4" w:rsidRDefault="00A569A4" w:rsidP="00EA5B9D">
      <w:pPr>
        <w:numPr>
          <w:ilvl w:val="0"/>
          <w:numId w:val="1"/>
        </w:numPr>
        <w:ind w:left="357" w:hanging="357"/>
        <w:rPr>
          <w:b/>
          <w:sz w:val="30"/>
          <w:szCs w:val="30"/>
        </w:rPr>
      </w:pPr>
      <w:r>
        <w:rPr>
          <w:b/>
          <w:sz w:val="30"/>
          <w:szCs w:val="30"/>
        </w:rPr>
        <w:t>References</w:t>
      </w:r>
    </w:p>
    <w:p w:rsidR="00FD6B97" w:rsidRPr="00FD6B97" w:rsidRDefault="00F3769F" w:rsidP="00F3769F">
      <w:pPr>
        <w:pStyle w:val="ListParagraph"/>
        <w:numPr>
          <w:ilvl w:val="0"/>
          <w:numId w:val="19"/>
        </w:numPr>
        <w:snapToGrid w:val="0"/>
        <w:spacing w:line="276" w:lineRule="auto"/>
        <w:ind w:left="432" w:firstLineChars="0"/>
        <w:rPr>
          <w:iCs/>
          <w:szCs w:val="20"/>
        </w:rPr>
      </w:pPr>
      <w:bookmarkStart w:id="5" w:name="OLE_LINK3"/>
      <w:bookmarkStart w:id="6" w:name="OLE_LINK4"/>
      <w:bookmarkStart w:id="7" w:name="_Ref450850314"/>
      <w:r>
        <w:rPr>
          <w:rFonts w:eastAsia="MS Mincho"/>
          <w:szCs w:val="20"/>
          <w:lang w:eastAsia="ja-JP"/>
        </w:rPr>
        <w:t xml:space="preserve">3GPP </w:t>
      </w:r>
      <w:r w:rsidR="00070EBD" w:rsidRPr="00FD6B97">
        <w:rPr>
          <w:rFonts w:eastAsia="MS Mincho" w:hint="eastAsia"/>
          <w:szCs w:val="20"/>
          <w:lang w:eastAsia="ja-JP"/>
        </w:rPr>
        <w:t>R</w:t>
      </w:r>
      <w:r w:rsidR="00070EBD" w:rsidRPr="00FD6B97">
        <w:rPr>
          <w:rFonts w:hint="eastAsia"/>
          <w:szCs w:val="20"/>
        </w:rPr>
        <w:t>P</w:t>
      </w:r>
      <w:r w:rsidR="00A569A4" w:rsidRPr="00FD6B97">
        <w:rPr>
          <w:rFonts w:eastAsia="MS Mincho" w:hint="eastAsia"/>
          <w:szCs w:val="20"/>
          <w:lang w:eastAsia="ja-JP"/>
        </w:rPr>
        <w:t>-</w:t>
      </w:r>
      <w:bookmarkEnd w:id="5"/>
      <w:bookmarkEnd w:id="6"/>
      <w:r w:rsidR="003631E5" w:rsidRPr="00FD6B97">
        <w:rPr>
          <w:szCs w:val="20"/>
        </w:rPr>
        <w:t>1</w:t>
      </w:r>
      <w:r w:rsidR="003631E5" w:rsidRPr="00FD6B97">
        <w:rPr>
          <w:rFonts w:hint="eastAsia"/>
          <w:szCs w:val="20"/>
        </w:rPr>
        <w:t>60671</w:t>
      </w:r>
      <w:r w:rsidR="00A569A4" w:rsidRPr="00FD6B97">
        <w:rPr>
          <w:szCs w:val="20"/>
        </w:rPr>
        <w:t xml:space="preserve">, </w:t>
      </w:r>
      <w:r w:rsidR="003631E5" w:rsidRPr="00FD6B97">
        <w:rPr>
          <w:szCs w:val="20"/>
        </w:rPr>
        <w:t xml:space="preserve">Study on </w:t>
      </w:r>
      <w:r w:rsidR="003631E5" w:rsidRPr="00FD6B97">
        <w:rPr>
          <w:rFonts w:eastAsia="MS Mincho" w:hint="eastAsia"/>
          <w:szCs w:val="20"/>
          <w:lang w:eastAsia="ja-JP"/>
        </w:rPr>
        <w:t>NR</w:t>
      </w:r>
      <w:r w:rsidR="003631E5" w:rsidRPr="00FD6B97">
        <w:rPr>
          <w:szCs w:val="20"/>
        </w:rPr>
        <w:t xml:space="preserve"> New Radio Access Technology</w:t>
      </w:r>
      <w:r w:rsidR="003631E5" w:rsidRPr="00FD6B97">
        <w:rPr>
          <w:rFonts w:eastAsia="MS Mincho"/>
          <w:szCs w:val="20"/>
          <w:lang w:eastAsia="ja-JP"/>
        </w:rPr>
        <w:t xml:space="preserve">, </w:t>
      </w:r>
      <w:r w:rsidR="003631E5" w:rsidRPr="00FD6B97">
        <w:rPr>
          <w:rFonts w:hint="eastAsia"/>
          <w:szCs w:val="20"/>
        </w:rPr>
        <w:t>3GPP RAN#71</w:t>
      </w:r>
      <w:bookmarkEnd w:id="7"/>
    </w:p>
    <w:p w:rsidR="00FD6B97" w:rsidRDefault="00F3769F" w:rsidP="00F3769F">
      <w:pPr>
        <w:pStyle w:val="ListParagraph"/>
        <w:numPr>
          <w:ilvl w:val="0"/>
          <w:numId w:val="19"/>
        </w:numPr>
        <w:snapToGrid w:val="0"/>
        <w:spacing w:line="276" w:lineRule="auto"/>
        <w:ind w:left="432" w:firstLineChars="0"/>
        <w:rPr>
          <w:iCs/>
          <w:szCs w:val="20"/>
        </w:rPr>
      </w:pPr>
      <w:bookmarkStart w:id="8" w:name="_Ref449620942"/>
      <w:bookmarkStart w:id="9" w:name="_Ref450748211"/>
      <w:r>
        <w:rPr>
          <w:rFonts w:eastAsia="MS Mincho"/>
          <w:szCs w:val="20"/>
          <w:lang w:eastAsia="ja-JP"/>
        </w:rPr>
        <w:t>3GPP</w:t>
      </w:r>
      <w:r w:rsidRPr="00FD6B97">
        <w:rPr>
          <w:iCs/>
          <w:szCs w:val="20"/>
        </w:rPr>
        <w:t xml:space="preserve"> </w:t>
      </w:r>
      <w:r w:rsidR="00991963" w:rsidRPr="00FD6B97">
        <w:rPr>
          <w:iCs/>
          <w:szCs w:val="20"/>
        </w:rPr>
        <w:t>Chairman’s notes RAN1#84bis</w:t>
      </w:r>
      <w:bookmarkEnd w:id="8"/>
      <w:r w:rsidR="0062638D">
        <w:rPr>
          <w:iCs/>
          <w:szCs w:val="20"/>
        </w:rPr>
        <w:t>, 2016-04</w:t>
      </w:r>
      <w:bookmarkEnd w:id="9"/>
    </w:p>
    <w:p w:rsidR="0062638D" w:rsidRDefault="00F3769F" w:rsidP="00F3769F">
      <w:pPr>
        <w:pStyle w:val="ListParagraph"/>
        <w:numPr>
          <w:ilvl w:val="0"/>
          <w:numId w:val="19"/>
        </w:numPr>
        <w:snapToGrid w:val="0"/>
        <w:spacing w:line="276" w:lineRule="auto"/>
        <w:ind w:left="432" w:firstLineChars="0"/>
        <w:rPr>
          <w:iCs/>
          <w:szCs w:val="20"/>
        </w:rPr>
      </w:pPr>
      <w:bookmarkStart w:id="10" w:name="_Ref449622718"/>
      <w:r>
        <w:rPr>
          <w:rFonts w:eastAsia="MS Mincho"/>
          <w:szCs w:val="20"/>
          <w:lang w:eastAsia="ja-JP"/>
        </w:rPr>
        <w:t>3GPP</w:t>
      </w:r>
      <w:r>
        <w:rPr>
          <w:iCs/>
          <w:szCs w:val="20"/>
        </w:rPr>
        <w:t xml:space="preserve"> </w:t>
      </w:r>
      <w:r w:rsidR="0062638D">
        <w:rPr>
          <w:iCs/>
          <w:szCs w:val="20"/>
        </w:rPr>
        <w:t>TR</w:t>
      </w:r>
      <w:r w:rsidR="0062638D" w:rsidRPr="0062638D">
        <w:rPr>
          <w:iCs/>
          <w:szCs w:val="20"/>
        </w:rPr>
        <w:t>38.913, Study on Scenarios and Requirements for Next Gene</w:t>
      </w:r>
      <w:r w:rsidR="0062638D">
        <w:rPr>
          <w:iCs/>
          <w:szCs w:val="20"/>
        </w:rPr>
        <w:t>ration Access Technologies, V0.3.0, 2016-03</w:t>
      </w:r>
      <w:bookmarkEnd w:id="10"/>
    </w:p>
    <w:p w:rsidR="008339F9" w:rsidRDefault="00F3769F" w:rsidP="00F3769F">
      <w:pPr>
        <w:pStyle w:val="ListParagraph"/>
        <w:numPr>
          <w:ilvl w:val="0"/>
          <w:numId w:val="19"/>
        </w:numPr>
        <w:snapToGrid w:val="0"/>
        <w:spacing w:line="276" w:lineRule="auto"/>
        <w:ind w:left="432" w:firstLineChars="0"/>
        <w:rPr>
          <w:iCs/>
          <w:szCs w:val="20"/>
        </w:rPr>
      </w:pPr>
      <w:bookmarkStart w:id="11" w:name="_Ref449623523"/>
      <w:r>
        <w:rPr>
          <w:rFonts w:eastAsia="MS Mincho"/>
          <w:szCs w:val="20"/>
          <w:lang w:eastAsia="ja-JP"/>
        </w:rPr>
        <w:t>3GPP</w:t>
      </w:r>
      <w:r>
        <w:rPr>
          <w:iCs/>
          <w:szCs w:val="20"/>
        </w:rPr>
        <w:t xml:space="preserve"> </w:t>
      </w:r>
      <w:r w:rsidR="00676281">
        <w:rPr>
          <w:iCs/>
          <w:szCs w:val="20"/>
        </w:rPr>
        <w:t>R1-164274</w:t>
      </w:r>
      <w:r w:rsidR="008339F9">
        <w:rPr>
          <w:iCs/>
          <w:szCs w:val="20"/>
        </w:rPr>
        <w:t>, Frame structure</w:t>
      </w:r>
      <w:r w:rsidR="00676281">
        <w:rPr>
          <w:iCs/>
          <w:szCs w:val="20"/>
        </w:rPr>
        <w:t xml:space="preserve"> for NR</w:t>
      </w:r>
      <w:r w:rsidR="008339F9">
        <w:rPr>
          <w:iCs/>
          <w:szCs w:val="20"/>
        </w:rPr>
        <w:t>, ZTE, May 2016</w:t>
      </w:r>
      <w:bookmarkEnd w:id="11"/>
    </w:p>
    <w:p w:rsidR="00676281" w:rsidRDefault="00F3769F" w:rsidP="00F3769F">
      <w:pPr>
        <w:pStyle w:val="ListParagraph"/>
        <w:numPr>
          <w:ilvl w:val="0"/>
          <w:numId w:val="19"/>
        </w:numPr>
        <w:snapToGrid w:val="0"/>
        <w:spacing w:line="276" w:lineRule="auto"/>
        <w:ind w:left="432" w:firstLineChars="0"/>
        <w:rPr>
          <w:iCs/>
          <w:szCs w:val="20"/>
        </w:rPr>
      </w:pPr>
      <w:bookmarkStart w:id="12" w:name="_Ref450688877"/>
      <w:r>
        <w:rPr>
          <w:rFonts w:eastAsia="MS Mincho"/>
          <w:szCs w:val="20"/>
          <w:lang w:eastAsia="ja-JP"/>
        </w:rPr>
        <w:t>3GPP</w:t>
      </w:r>
      <w:r>
        <w:rPr>
          <w:iCs/>
          <w:szCs w:val="20"/>
        </w:rPr>
        <w:t xml:space="preserve"> </w:t>
      </w:r>
      <w:r w:rsidR="00676281">
        <w:rPr>
          <w:iCs/>
          <w:szCs w:val="20"/>
        </w:rPr>
        <w:t xml:space="preserve">R1-164261, </w:t>
      </w:r>
      <w:r w:rsidR="00676281" w:rsidRPr="00676281">
        <w:rPr>
          <w:iCs/>
          <w:szCs w:val="20"/>
        </w:rPr>
        <w:t>Forward compatibility of numerology and frame structure design</w:t>
      </w:r>
      <w:r w:rsidR="00676281">
        <w:rPr>
          <w:iCs/>
          <w:szCs w:val="20"/>
        </w:rPr>
        <w:t>, ZTE, May 2016</w:t>
      </w:r>
      <w:bookmarkEnd w:id="12"/>
    </w:p>
    <w:p w:rsidR="002602FA" w:rsidRPr="003F63C0" w:rsidRDefault="00F3769F" w:rsidP="00F3769F">
      <w:pPr>
        <w:pStyle w:val="ListParagraph"/>
        <w:numPr>
          <w:ilvl w:val="0"/>
          <w:numId w:val="19"/>
        </w:numPr>
        <w:snapToGrid w:val="0"/>
        <w:spacing w:line="276" w:lineRule="auto"/>
        <w:ind w:left="432" w:firstLineChars="0"/>
        <w:rPr>
          <w:iCs/>
          <w:szCs w:val="20"/>
        </w:rPr>
      </w:pPr>
      <w:bookmarkStart w:id="13" w:name="_Ref450858278"/>
      <w:r>
        <w:rPr>
          <w:rFonts w:eastAsia="MS Mincho"/>
          <w:szCs w:val="20"/>
          <w:lang w:eastAsia="ja-JP"/>
        </w:rPr>
        <w:t>3GPP</w:t>
      </w:r>
      <w:r>
        <w:t xml:space="preserve"> </w:t>
      </w:r>
      <w:r w:rsidR="002602FA">
        <w:t xml:space="preserve">R1-164273, </w:t>
      </w:r>
      <w:r w:rsidR="002602FA" w:rsidRPr="002602FA">
        <w:t>Frequency multiplexing of different numerologies</w:t>
      </w:r>
      <w:r w:rsidR="002602FA">
        <w:t>, ZTE, May 2016</w:t>
      </w:r>
      <w:bookmarkEnd w:id="13"/>
    </w:p>
    <w:p w:rsidR="003F63C0" w:rsidRPr="00183A10" w:rsidRDefault="003F63C0" w:rsidP="00F3769F">
      <w:pPr>
        <w:pStyle w:val="ListParagraph"/>
        <w:numPr>
          <w:ilvl w:val="0"/>
          <w:numId w:val="19"/>
        </w:numPr>
        <w:snapToGrid w:val="0"/>
        <w:spacing w:line="276" w:lineRule="auto"/>
        <w:ind w:left="432" w:firstLineChars="0"/>
        <w:rPr>
          <w:iCs/>
          <w:szCs w:val="20"/>
        </w:rPr>
      </w:pPr>
      <w:bookmarkStart w:id="14" w:name="_Ref450911398"/>
      <w:r>
        <w:rPr>
          <w:lang w:val="en-GB"/>
        </w:rPr>
        <w:t>A.</w:t>
      </w:r>
      <w:r w:rsidR="00F3769F">
        <w:rPr>
          <w:lang w:val="en-GB"/>
        </w:rPr>
        <w:t xml:space="preserve">V. Oppenheim and R.W. Schafer, </w:t>
      </w:r>
      <w:r w:rsidR="00F3769F" w:rsidRPr="00F3769F">
        <w:rPr>
          <w:i/>
          <w:lang w:val="en-GB"/>
        </w:rPr>
        <w:t>Discrete-time signal processing</w:t>
      </w:r>
      <w:r>
        <w:rPr>
          <w:lang w:val="en-GB"/>
        </w:rPr>
        <w:t>, Prentice-Hall, 1989</w:t>
      </w:r>
      <w:bookmarkEnd w:id="14"/>
    </w:p>
    <w:p w:rsidR="00183A10" w:rsidRPr="00FD6B97" w:rsidRDefault="00F3769F" w:rsidP="00F3769F">
      <w:pPr>
        <w:pStyle w:val="ListParagraph"/>
        <w:numPr>
          <w:ilvl w:val="0"/>
          <w:numId w:val="19"/>
        </w:numPr>
        <w:snapToGrid w:val="0"/>
        <w:spacing w:line="276" w:lineRule="auto"/>
        <w:ind w:left="432" w:firstLineChars="0"/>
        <w:rPr>
          <w:iCs/>
          <w:szCs w:val="20"/>
        </w:rPr>
      </w:pPr>
      <w:bookmarkStart w:id="15" w:name="_Ref450902074"/>
      <w:r>
        <w:rPr>
          <w:rFonts w:eastAsia="MS Mincho"/>
          <w:szCs w:val="20"/>
          <w:lang w:eastAsia="ja-JP"/>
        </w:rPr>
        <w:t>3GPP</w:t>
      </w:r>
      <w:r w:rsidRPr="00183A10">
        <w:rPr>
          <w:iCs/>
          <w:szCs w:val="20"/>
        </w:rPr>
        <w:t xml:space="preserve"> </w:t>
      </w:r>
      <w:r w:rsidR="00183A10" w:rsidRPr="00183A10">
        <w:rPr>
          <w:iCs/>
          <w:szCs w:val="20"/>
        </w:rPr>
        <w:t>R1-164272</w:t>
      </w:r>
      <w:r w:rsidR="00183A10">
        <w:rPr>
          <w:iCs/>
          <w:szCs w:val="20"/>
        </w:rPr>
        <w:t xml:space="preserve">, </w:t>
      </w:r>
      <w:r w:rsidR="00183A10" w:rsidRPr="00183A10">
        <w:rPr>
          <w:iCs/>
          <w:szCs w:val="20"/>
        </w:rPr>
        <w:t>Performance evaluation of numerology candidates</w:t>
      </w:r>
      <w:r w:rsidR="00183A10">
        <w:rPr>
          <w:iCs/>
          <w:szCs w:val="20"/>
        </w:rPr>
        <w:t>, ZTE, May 2016</w:t>
      </w:r>
      <w:bookmarkEnd w:id="15"/>
    </w:p>
    <w:p w:rsidR="00391673" w:rsidRPr="00391673" w:rsidRDefault="00391673" w:rsidP="00A569A4">
      <w:pPr>
        <w:rPr>
          <w:iCs/>
        </w:rPr>
      </w:pPr>
    </w:p>
    <w:sectPr w:rsidR="00391673" w:rsidRPr="00391673"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3E2" w:rsidRDefault="003333E2" w:rsidP="00FF0AAD">
      <w:r>
        <w:separator/>
      </w:r>
    </w:p>
  </w:endnote>
  <w:endnote w:type="continuationSeparator" w:id="0">
    <w:p w:rsidR="003333E2" w:rsidRDefault="003333E2"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35128A">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3E2" w:rsidRDefault="003333E2" w:rsidP="00FF0AAD">
      <w:r>
        <w:separator/>
      </w:r>
    </w:p>
  </w:footnote>
  <w:footnote w:type="continuationSeparator" w:id="0">
    <w:p w:rsidR="003333E2" w:rsidRDefault="003333E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86AB0"/>
    <w:multiLevelType w:val="hybridMultilevel"/>
    <w:tmpl w:val="6786FFC8"/>
    <w:lvl w:ilvl="0" w:tplc="041D0001">
      <w:start w:val="1"/>
      <w:numFmt w:val="bullet"/>
      <w:lvlText w:val=""/>
      <w:lvlJc w:val="left"/>
      <w:pPr>
        <w:ind w:left="784" w:hanging="360"/>
      </w:pPr>
      <w:rPr>
        <w:rFonts w:ascii="Symbol" w:hAnsi="Symbol" w:hint="default"/>
      </w:rPr>
    </w:lvl>
    <w:lvl w:ilvl="1" w:tplc="041D0003" w:tentative="1">
      <w:start w:val="1"/>
      <w:numFmt w:val="bullet"/>
      <w:lvlText w:val="o"/>
      <w:lvlJc w:val="left"/>
      <w:pPr>
        <w:ind w:left="1504" w:hanging="360"/>
      </w:pPr>
      <w:rPr>
        <w:rFonts w:ascii="Courier New" w:hAnsi="Courier New" w:cs="Courier New" w:hint="default"/>
      </w:rPr>
    </w:lvl>
    <w:lvl w:ilvl="2" w:tplc="041D0005" w:tentative="1">
      <w:start w:val="1"/>
      <w:numFmt w:val="bullet"/>
      <w:lvlText w:val=""/>
      <w:lvlJc w:val="left"/>
      <w:pPr>
        <w:ind w:left="2224" w:hanging="360"/>
      </w:pPr>
      <w:rPr>
        <w:rFonts w:ascii="Wingdings" w:hAnsi="Wingdings" w:hint="default"/>
      </w:rPr>
    </w:lvl>
    <w:lvl w:ilvl="3" w:tplc="041D0001" w:tentative="1">
      <w:start w:val="1"/>
      <w:numFmt w:val="bullet"/>
      <w:lvlText w:val=""/>
      <w:lvlJc w:val="left"/>
      <w:pPr>
        <w:ind w:left="2944" w:hanging="360"/>
      </w:pPr>
      <w:rPr>
        <w:rFonts w:ascii="Symbol" w:hAnsi="Symbol" w:hint="default"/>
      </w:rPr>
    </w:lvl>
    <w:lvl w:ilvl="4" w:tplc="041D0003" w:tentative="1">
      <w:start w:val="1"/>
      <w:numFmt w:val="bullet"/>
      <w:lvlText w:val="o"/>
      <w:lvlJc w:val="left"/>
      <w:pPr>
        <w:ind w:left="3664" w:hanging="360"/>
      </w:pPr>
      <w:rPr>
        <w:rFonts w:ascii="Courier New" w:hAnsi="Courier New" w:cs="Courier New" w:hint="default"/>
      </w:rPr>
    </w:lvl>
    <w:lvl w:ilvl="5" w:tplc="041D0005" w:tentative="1">
      <w:start w:val="1"/>
      <w:numFmt w:val="bullet"/>
      <w:lvlText w:val=""/>
      <w:lvlJc w:val="left"/>
      <w:pPr>
        <w:ind w:left="4384" w:hanging="360"/>
      </w:pPr>
      <w:rPr>
        <w:rFonts w:ascii="Wingdings" w:hAnsi="Wingdings" w:hint="default"/>
      </w:rPr>
    </w:lvl>
    <w:lvl w:ilvl="6" w:tplc="041D0001" w:tentative="1">
      <w:start w:val="1"/>
      <w:numFmt w:val="bullet"/>
      <w:lvlText w:val=""/>
      <w:lvlJc w:val="left"/>
      <w:pPr>
        <w:ind w:left="5104" w:hanging="360"/>
      </w:pPr>
      <w:rPr>
        <w:rFonts w:ascii="Symbol" w:hAnsi="Symbol" w:hint="default"/>
      </w:rPr>
    </w:lvl>
    <w:lvl w:ilvl="7" w:tplc="041D0003" w:tentative="1">
      <w:start w:val="1"/>
      <w:numFmt w:val="bullet"/>
      <w:lvlText w:val="o"/>
      <w:lvlJc w:val="left"/>
      <w:pPr>
        <w:ind w:left="5824" w:hanging="360"/>
      </w:pPr>
      <w:rPr>
        <w:rFonts w:ascii="Courier New" w:hAnsi="Courier New" w:cs="Courier New" w:hint="default"/>
      </w:rPr>
    </w:lvl>
    <w:lvl w:ilvl="8" w:tplc="041D0005" w:tentative="1">
      <w:start w:val="1"/>
      <w:numFmt w:val="bullet"/>
      <w:lvlText w:val=""/>
      <w:lvlJc w:val="left"/>
      <w:pPr>
        <w:ind w:left="6544" w:hanging="360"/>
      </w:pPr>
      <w:rPr>
        <w:rFonts w:ascii="Wingdings" w:hAnsi="Wingdings" w:hint="default"/>
      </w:rPr>
    </w:lvl>
  </w:abstractNum>
  <w:abstractNum w:abstractNumId="1">
    <w:nsid w:val="11D422B1"/>
    <w:multiLevelType w:val="hybridMultilevel"/>
    <w:tmpl w:val="0F2EB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5E246F"/>
    <w:multiLevelType w:val="hybridMultilevel"/>
    <w:tmpl w:val="B1A0CCC8"/>
    <w:lvl w:ilvl="0" w:tplc="041D0001">
      <w:start w:val="1"/>
      <w:numFmt w:val="bullet"/>
      <w:lvlText w:val=""/>
      <w:lvlJc w:val="left"/>
      <w:pPr>
        <w:ind w:left="720" w:hanging="360"/>
      </w:pPr>
      <w:rPr>
        <w:rFonts w:ascii="Symbol" w:hAnsi="Symbol" w:hint="default"/>
      </w:rPr>
    </w:lvl>
    <w:lvl w:ilvl="1" w:tplc="041D0017">
      <w:start w:val="1"/>
      <w:numFmt w:val="lowerLetter"/>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7C509F"/>
    <w:multiLevelType w:val="hybridMultilevel"/>
    <w:tmpl w:val="6F6AC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8709B"/>
    <w:multiLevelType w:val="hybridMultilevel"/>
    <w:tmpl w:val="83469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9E7904"/>
    <w:multiLevelType w:val="hybridMultilevel"/>
    <w:tmpl w:val="B3402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0D1F3B"/>
    <w:multiLevelType w:val="hybridMultilevel"/>
    <w:tmpl w:val="7FFECD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53856C8D"/>
    <w:multiLevelType w:val="hybridMultilevel"/>
    <w:tmpl w:val="480ED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0"/>
  </w:num>
  <w:num w:numId="3">
    <w:abstractNumId w:val="28"/>
  </w:num>
  <w:num w:numId="4">
    <w:abstractNumId w:val="32"/>
  </w:num>
  <w:num w:numId="5">
    <w:abstractNumId w:val="9"/>
  </w:num>
  <w:num w:numId="6">
    <w:abstractNumId w:val="19"/>
  </w:num>
  <w:num w:numId="7">
    <w:abstractNumId w:val="14"/>
  </w:num>
  <w:num w:numId="8">
    <w:abstractNumId w:val="22"/>
  </w:num>
  <w:num w:numId="9">
    <w:abstractNumId w:val="33"/>
  </w:num>
  <w:num w:numId="10">
    <w:abstractNumId w:val="23"/>
  </w:num>
  <w:num w:numId="11">
    <w:abstractNumId w:val="20"/>
  </w:num>
  <w:num w:numId="12">
    <w:abstractNumId w:val="31"/>
  </w:num>
  <w:num w:numId="13">
    <w:abstractNumId w:val="18"/>
  </w:num>
  <w:num w:numId="14">
    <w:abstractNumId w:val="11"/>
  </w:num>
  <w:num w:numId="15">
    <w:abstractNumId w:val="5"/>
  </w:num>
  <w:num w:numId="16">
    <w:abstractNumId w:val="15"/>
  </w:num>
  <w:num w:numId="17">
    <w:abstractNumId w:val="30"/>
  </w:num>
  <w:num w:numId="18">
    <w:abstractNumId w:val="4"/>
  </w:num>
  <w:num w:numId="19">
    <w:abstractNumId w:val="3"/>
  </w:num>
  <w:num w:numId="20">
    <w:abstractNumId w:val="29"/>
  </w:num>
  <w:num w:numId="21">
    <w:abstractNumId w:val="26"/>
  </w:num>
  <w:num w:numId="22">
    <w:abstractNumId w:val="13"/>
  </w:num>
  <w:num w:numId="23">
    <w:abstractNumId w:val="7"/>
  </w:num>
  <w:num w:numId="24">
    <w:abstractNumId w:val="2"/>
  </w:num>
  <w:num w:numId="25">
    <w:abstractNumId w:val="16"/>
  </w:num>
  <w:num w:numId="26">
    <w:abstractNumId w:val="12"/>
  </w:num>
  <w:num w:numId="27">
    <w:abstractNumId w:val="21"/>
  </w:num>
  <w:num w:numId="28">
    <w:abstractNumId w:val="25"/>
  </w:num>
  <w:num w:numId="29">
    <w:abstractNumId w:val="17"/>
  </w:num>
  <w:num w:numId="30">
    <w:abstractNumId w:val="8"/>
  </w:num>
  <w:num w:numId="31">
    <w:abstractNumId w:val="24"/>
  </w:num>
  <w:num w:numId="32">
    <w:abstractNumId w:val="0"/>
  </w:num>
  <w:num w:numId="33">
    <w:abstractNumId w:val="6"/>
  </w:num>
  <w:num w:numId="3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515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7324"/>
    <w:rsid w:val="000141D7"/>
    <w:rsid w:val="0001696F"/>
    <w:rsid w:val="00022263"/>
    <w:rsid w:val="00027F39"/>
    <w:rsid w:val="000314BE"/>
    <w:rsid w:val="0003612C"/>
    <w:rsid w:val="000411C0"/>
    <w:rsid w:val="0004434E"/>
    <w:rsid w:val="00052635"/>
    <w:rsid w:val="00053328"/>
    <w:rsid w:val="00055C73"/>
    <w:rsid w:val="00060E49"/>
    <w:rsid w:val="000650EB"/>
    <w:rsid w:val="00065756"/>
    <w:rsid w:val="00065E37"/>
    <w:rsid w:val="0007080B"/>
    <w:rsid w:val="00070EBD"/>
    <w:rsid w:val="0007415F"/>
    <w:rsid w:val="00075E59"/>
    <w:rsid w:val="00083F98"/>
    <w:rsid w:val="00086A29"/>
    <w:rsid w:val="00091B52"/>
    <w:rsid w:val="00092939"/>
    <w:rsid w:val="00095947"/>
    <w:rsid w:val="000A27B9"/>
    <w:rsid w:val="000A2EBC"/>
    <w:rsid w:val="000B2582"/>
    <w:rsid w:val="000B7610"/>
    <w:rsid w:val="000C1E08"/>
    <w:rsid w:val="000C37CC"/>
    <w:rsid w:val="000D65D7"/>
    <w:rsid w:val="000D793E"/>
    <w:rsid w:val="0010212F"/>
    <w:rsid w:val="001072DE"/>
    <w:rsid w:val="00112AC8"/>
    <w:rsid w:val="00116121"/>
    <w:rsid w:val="00126145"/>
    <w:rsid w:val="00127D7C"/>
    <w:rsid w:val="00136836"/>
    <w:rsid w:val="00142232"/>
    <w:rsid w:val="00143E06"/>
    <w:rsid w:val="001442F6"/>
    <w:rsid w:val="00145121"/>
    <w:rsid w:val="0014740A"/>
    <w:rsid w:val="001477A7"/>
    <w:rsid w:val="00151481"/>
    <w:rsid w:val="00161014"/>
    <w:rsid w:val="00171139"/>
    <w:rsid w:val="001721E6"/>
    <w:rsid w:val="001742D5"/>
    <w:rsid w:val="00174436"/>
    <w:rsid w:val="001767E6"/>
    <w:rsid w:val="0018036E"/>
    <w:rsid w:val="00180466"/>
    <w:rsid w:val="001810C5"/>
    <w:rsid w:val="00183A10"/>
    <w:rsid w:val="001841A8"/>
    <w:rsid w:val="00185733"/>
    <w:rsid w:val="00190A8D"/>
    <w:rsid w:val="00194BDB"/>
    <w:rsid w:val="00196645"/>
    <w:rsid w:val="001A5421"/>
    <w:rsid w:val="001B21A1"/>
    <w:rsid w:val="001B2CDE"/>
    <w:rsid w:val="001C05BA"/>
    <w:rsid w:val="001C06FA"/>
    <w:rsid w:val="001C3DF5"/>
    <w:rsid w:val="001D5F96"/>
    <w:rsid w:val="001D6048"/>
    <w:rsid w:val="001E0A05"/>
    <w:rsid w:val="00220CE0"/>
    <w:rsid w:val="00221120"/>
    <w:rsid w:val="00233288"/>
    <w:rsid w:val="002333B7"/>
    <w:rsid w:val="002363A9"/>
    <w:rsid w:val="00244D42"/>
    <w:rsid w:val="0024567E"/>
    <w:rsid w:val="00247311"/>
    <w:rsid w:val="002519B7"/>
    <w:rsid w:val="00251E7C"/>
    <w:rsid w:val="002530C6"/>
    <w:rsid w:val="002602FA"/>
    <w:rsid w:val="00267558"/>
    <w:rsid w:val="0026790F"/>
    <w:rsid w:val="00272467"/>
    <w:rsid w:val="0027255D"/>
    <w:rsid w:val="002730B3"/>
    <w:rsid w:val="00273A29"/>
    <w:rsid w:val="00274701"/>
    <w:rsid w:val="0027765B"/>
    <w:rsid w:val="00283F82"/>
    <w:rsid w:val="00285137"/>
    <w:rsid w:val="00290D4A"/>
    <w:rsid w:val="0029127B"/>
    <w:rsid w:val="002938A5"/>
    <w:rsid w:val="00295775"/>
    <w:rsid w:val="002960F4"/>
    <w:rsid w:val="002973B9"/>
    <w:rsid w:val="002974D4"/>
    <w:rsid w:val="002A2FA8"/>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6B6C"/>
    <w:rsid w:val="002E4C97"/>
    <w:rsid w:val="002E794D"/>
    <w:rsid w:val="002F0126"/>
    <w:rsid w:val="002F2FF2"/>
    <w:rsid w:val="002F3759"/>
    <w:rsid w:val="002F5517"/>
    <w:rsid w:val="00310A97"/>
    <w:rsid w:val="00312C1A"/>
    <w:rsid w:val="00312DD1"/>
    <w:rsid w:val="00313E5D"/>
    <w:rsid w:val="0031570F"/>
    <w:rsid w:val="003162A2"/>
    <w:rsid w:val="00320818"/>
    <w:rsid w:val="0033176D"/>
    <w:rsid w:val="003333E2"/>
    <w:rsid w:val="00337150"/>
    <w:rsid w:val="00346CE0"/>
    <w:rsid w:val="003504B5"/>
    <w:rsid w:val="0035128A"/>
    <w:rsid w:val="003533A7"/>
    <w:rsid w:val="00360683"/>
    <w:rsid w:val="00361F3F"/>
    <w:rsid w:val="003631E5"/>
    <w:rsid w:val="00377306"/>
    <w:rsid w:val="00390C3C"/>
    <w:rsid w:val="00391673"/>
    <w:rsid w:val="003946D4"/>
    <w:rsid w:val="003A2A06"/>
    <w:rsid w:val="003A3800"/>
    <w:rsid w:val="003A6500"/>
    <w:rsid w:val="003B3883"/>
    <w:rsid w:val="003B40ED"/>
    <w:rsid w:val="003B46C8"/>
    <w:rsid w:val="003B5CF4"/>
    <w:rsid w:val="003C361A"/>
    <w:rsid w:val="003C3674"/>
    <w:rsid w:val="003C3FCC"/>
    <w:rsid w:val="003C70DA"/>
    <w:rsid w:val="003D2D35"/>
    <w:rsid w:val="003D3730"/>
    <w:rsid w:val="003D4CBE"/>
    <w:rsid w:val="003F28BC"/>
    <w:rsid w:val="003F448B"/>
    <w:rsid w:val="003F546E"/>
    <w:rsid w:val="003F58F6"/>
    <w:rsid w:val="003F5936"/>
    <w:rsid w:val="003F63C0"/>
    <w:rsid w:val="004000BE"/>
    <w:rsid w:val="004019E1"/>
    <w:rsid w:val="004043F0"/>
    <w:rsid w:val="0040477F"/>
    <w:rsid w:val="00405CF3"/>
    <w:rsid w:val="004074BD"/>
    <w:rsid w:val="00411AA7"/>
    <w:rsid w:val="00412643"/>
    <w:rsid w:val="00412AFA"/>
    <w:rsid w:val="00413229"/>
    <w:rsid w:val="004137FF"/>
    <w:rsid w:val="004147B5"/>
    <w:rsid w:val="00414D93"/>
    <w:rsid w:val="00420162"/>
    <w:rsid w:val="0042159B"/>
    <w:rsid w:val="00425DF0"/>
    <w:rsid w:val="004265A0"/>
    <w:rsid w:val="00427917"/>
    <w:rsid w:val="00435AD0"/>
    <w:rsid w:val="00441AA1"/>
    <w:rsid w:val="00446005"/>
    <w:rsid w:val="00446AE1"/>
    <w:rsid w:val="004602B6"/>
    <w:rsid w:val="0046088D"/>
    <w:rsid w:val="00461C5A"/>
    <w:rsid w:val="0046454E"/>
    <w:rsid w:val="004656EE"/>
    <w:rsid w:val="00466A01"/>
    <w:rsid w:val="004737F9"/>
    <w:rsid w:val="0048006F"/>
    <w:rsid w:val="00487887"/>
    <w:rsid w:val="00496761"/>
    <w:rsid w:val="00496C3B"/>
    <w:rsid w:val="00497E8F"/>
    <w:rsid w:val="004A4E34"/>
    <w:rsid w:val="004B0201"/>
    <w:rsid w:val="004B77E3"/>
    <w:rsid w:val="004C1005"/>
    <w:rsid w:val="004C145A"/>
    <w:rsid w:val="004C46E1"/>
    <w:rsid w:val="004C5861"/>
    <w:rsid w:val="004C63EE"/>
    <w:rsid w:val="004C6A8B"/>
    <w:rsid w:val="004D10DB"/>
    <w:rsid w:val="004D15BB"/>
    <w:rsid w:val="004D1EE6"/>
    <w:rsid w:val="004D28B9"/>
    <w:rsid w:val="004D6142"/>
    <w:rsid w:val="004E14EB"/>
    <w:rsid w:val="004E72AC"/>
    <w:rsid w:val="004E78E8"/>
    <w:rsid w:val="00501BD7"/>
    <w:rsid w:val="00504BCA"/>
    <w:rsid w:val="00506A83"/>
    <w:rsid w:val="0050758D"/>
    <w:rsid w:val="0051029C"/>
    <w:rsid w:val="00515626"/>
    <w:rsid w:val="00521828"/>
    <w:rsid w:val="005253C8"/>
    <w:rsid w:val="005274F3"/>
    <w:rsid w:val="00530886"/>
    <w:rsid w:val="00532C95"/>
    <w:rsid w:val="00532D9C"/>
    <w:rsid w:val="005363C8"/>
    <w:rsid w:val="00544B8A"/>
    <w:rsid w:val="00546F7A"/>
    <w:rsid w:val="00551793"/>
    <w:rsid w:val="00555AFA"/>
    <w:rsid w:val="005573A0"/>
    <w:rsid w:val="00557A2B"/>
    <w:rsid w:val="00565697"/>
    <w:rsid w:val="00566C02"/>
    <w:rsid w:val="00570FDA"/>
    <w:rsid w:val="00572B31"/>
    <w:rsid w:val="00580ED6"/>
    <w:rsid w:val="00585079"/>
    <w:rsid w:val="0059566C"/>
    <w:rsid w:val="00597472"/>
    <w:rsid w:val="005A0289"/>
    <w:rsid w:val="005A22CF"/>
    <w:rsid w:val="005B000C"/>
    <w:rsid w:val="005B3EF1"/>
    <w:rsid w:val="005C15A0"/>
    <w:rsid w:val="005D6809"/>
    <w:rsid w:val="005D680C"/>
    <w:rsid w:val="005E0C4B"/>
    <w:rsid w:val="005E1069"/>
    <w:rsid w:val="005E2AE9"/>
    <w:rsid w:val="005F0BCE"/>
    <w:rsid w:val="005F34F7"/>
    <w:rsid w:val="005F4E14"/>
    <w:rsid w:val="005F56A6"/>
    <w:rsid w:val="006012C6"/>
    <w:rsid w:val="00602802"/>
    <w:rsid w:val="00613EFD"/>
    <w:rsid w:val="00617630"/>
    <w:rsid w:val="00620346"/>
    <w:rsid w:val="00621FD4"/>
    <w:rsid w:val="0062638D"/>
    <w:rsid w:val="0063642D"/>
    <w:rsid w:val="00640758"/>
    <w:rsid w:val="00644D0E"/>
    <w:rsid w:val="00651E04"/>
    <w:rsid w:val="00655C31"/>
    <w:rsid w:val="00656384"/>
    <w:rsid w:val="006653D4"/>
    <w:rsid w:val="00666E6D"/>
    <w:rsid w:val="00667F6E"/>
    <w:rsid w:val="00671904"/>
    <w:rsid w:val="006722CE"/>
    <w:rsid w:val="00676281"/>
    <w:rsid w:val="00677F9F"/>
    <w:rsid w:val="00690BB8"/>
    <w:rsid w:val="0069278C"/>
    <w:rsid w:val="00696B73"/>
    <w:rsid w:val="006A185C"/>
    <w:rsid w:val="006A4230"/>
    <w:rsid w:val="006A42F6"/>
    <w:rsid w:val="006A6E0F"/>
    <w:rsid w:val="006B48F1"/>
    <w:rsid w:val="006B5FCB"/>
    <w:rsid w:val="006C2467"/>
    <w:rsid w:val="006C60A2"/>
    <w:rsid w:val="006C6BA6"/>
    <w:rsid w:val="006C7454"/>
    <w:rsid w:val="006D2B51"/>
    <w:rsid w:val="006D4C4D"/>
    <w:rsid w:val="006D512F"/>
    <w:rsid w:val="006D52EC"/>
    <w:rsid w:val="006D7CA8"/>
    <w:rsid w:val="006E5253"/>
    <w:rsid w:val="006E6B9A"/>
    <w:rsid w:val="006F5508"/>
    <w:rsid w:val="006F75D8"/>
    <w:rsid w:val="00701EF9"/>
    <w:rsid w:val="007048C3"/>
    <w:rsid w:val="00710EF0"/>
    <w:rsid w:val="00712655"/>
    <w:rsid w:val="007208A2"/>
    <w:rsid w:val="00726156"/>
    <w:rsid w:val="00732383"/>
    <w:rsid w:val="00732E84"/>
    <w:rsid w:val="00733BDE"/>
    <w:rsid w:val="00737957"/>
    <w:rsid w:val="00745DE7"/>
    <w:rsid w:val="007477F6"/>
    <w:rsid w:val="007524FD"/>
    <w:rsid w:val="00757C50"/>
    <w:rsid w:val="00760049"/>
    <w:rsid w:val="00760131"/>
    <w:rsid w:val="0076369E"/>
    <w:rsid w:val="00765BB9"/>
    <w:rsid w:val="00766C46"/>
    <w:rsid w:val="00771468"/>
    <w:rsid w:val="00772D0C"/>
    <w:rsid w:val="00773E97"/>
    <w:rsid w:val="00784191"/>
    <w:rsid w:val="0078762A"/>
    <w:rsid w:val="007911DF"/>
    <w:rsid w:val="00791A5D"/>
    <w:rsid w:val="00793203"/>
    <w:rsid w:val="0079666E"/>
    <w:rsid w:val="0079669E"/>
    <w:rsid w:val="00796A2A"/>
    <w:rsid w:val="00797D36"/>
    <w:rsid w:val="007A2A69"/>
    <w:rsid w:val="007A2D26"/>
    <w:rsid w:val="007A412D"/>
    <w:rsid w:val="007B546D"/>
    <w:rsid w:val="007B7386"/>
    <w:rsid w:val="007C33E4"/>
    <w:rsid w:val="007D225F"/>
    <w:rsid w:val="007D3894"/>
    <w:rsid w:val="007E04D4"/>
    <w:rsid w:val="007E267A"/>
    <w:rsid w:val="007E5CF8"/>
    <w:rsid w:val="007E771D"/>
    <w:rsid w:val="007F3EF2"/>
    <w:rsid w:val="008010A5"/>
    <w:rsid w:val="00801948"/>
    <w:rsid w:val="00804085"/>
    <w:rsid w:val="00804288"/>
    <w:rsid w:val="00813CD3"/>
    <w:rsid w:val="0081518A"/>
    <w:rsid w:val="00815E75"/>
    <w:rsid w:val="00816F96"/>
    <w:rsid w:val="00823E65"/>
    <w:rsid w:val="008244E5"/>
    <w:rsid w:val="008339F9"/>
    <w:rsid w:val="00836840"/>
    <w:rsid w:val="00840AB6"/>
    <w:rsid w:val="00842222"/>
    <w:rsid w:val="00846CBF"/>
    <w:rsid w:val="00846FAB"/>
    <w:rsid w:val="00853251"/>
    <w:rsid w:val="00870BF0"/>
    <w:rsid w:val="00870FE7"/>
    <w:rsid w:val="00872250"/>
    <w:rsid w:val="00872C28"/>
    <w:rsid w:val="00881A67"/>
    <w:rsid w:val="00886503"/>
    <w:rsid w:val="0088712A"/>
    <w:rsid w:val="00893B8E"/>
    <w:rsid w:val="008974FA"/>
    <w:rsid w:val="008A0730"/>
    <w:rsid w:val="008A1ED0"/>
    <w:rsid w:val="008A2594"/>
    <w:rsid w:val="008A34A6"/>
    <w:rsid w:val="008A4707"/>
    <w:rsid w:val="008C0A55"/>
    <w:rsid w:val="008C2ADD"/>
    <w:rsid w:val="008C4EB6"/>
    <w:rsid w:val="008D2554"/>
    <w:rsid w:val="008E27D5"/>
    <w:rsid w:val="00903029"/>
    <w:rsid w:val="0090352C"/>
    <w:rsid w:val="00903ED1"/>
    <w:rsid w:val="0090427E"/>
    <w:rsid w:val="00915D34"/>
    <w:rsid w:val="00916155"/>
    <w:rsid w:val="00921C5C"/>
    <w:rsid w:val="00931C9D"/>
    <w:rsid w:val="00932248"/>
    <w:rsid w:val="00932BEF"/>
    <w:rsid w:val="00934221"/>
    <w:rsid w:val="0093734D"/>
    <w:rsid w:val="009402E9"/>
    <w:rsid w:val="009433CB"/>
    <w:rsid w:val="0095082C"/>
    <w:rsid w:val="0096003B"/>
    <w:rsid w:val="009628AF"/>
    <w:rsid w:val="00971496"/>
    <w:rsid w:val="00971DDC"/>
    <w:rsid w:val="0097265A"/>
    <w:rsid w:val="00972F70"/>
    <w:rsid w:val="009745AB"/>
    <w:rsid w:val="009821FC"/>
    <w:rsid w:val="00991070"/>
    <w:rsid w:val="00991963"/>
    <w:rsid w:val="00992DCD"/>
    <w:rsid w:val="0099410B"/>
    <w:rsid w:val="009A11BB"/>
    <w:rsid w:val="009B2AA7"/>
    <w:rsid w:val="009B5573"/>
    <w:rsid w:val="009C1507"/>
    <w:rsid w:val="009C22D6"/>
    <w:rsid w:val="009D03F9"/>
    <w:rsid w:val="009D2D92"/>
    <w:rsid w:val="009D4E27"/>
    <w:rsid w:val="009D7EE2"/>
    <w:rsid w:val="009E0835"/>
    <w:rsid w:val="009E18C2"/>
    <w:rsid w:val="009E27A5"/>
    <w:rsid w:val="009E2BBA"/>
    <w:rsid w:val="009E748B"/>
    <w:rsid w:val="009F2FDC"/>
    <w:rsid w:val="009F35E1"/>
    <w:rsid w:val="009F5202"/>
    <w:rsid w:val="00A044DF"/>
    <w:rsid w:val="00A07D64"/>
    <w:rsid w:val="00A10B83"/>
    <w:rsid w:val="00A154DB"/>
    <w:rsid w:val="00A16D4F"/>
    <w:rsid w:val="00A22250"/>
    <w:rsid w:val="00A22F3F"/>
    <w:rsid w:val="00A237B2"/>
    <w:rsid w:val="00A24CCA"/>
    <w:rsid w:val="00A24F87"/>
    <w:rsid w:val="00A279D4"/>
    <w:rsid w:val="00A31718"/>
    <w:rsid w:val="00A34767"/>
    <w:rsid w:val="00A4219D"/>
    <w:rsid w:val="00A515D6"/>
    <w:rsid w:val="00A52561"/>
    <w:rsid w:val="00A52FC5"/>
    <w:rsid w:val="00A53FC5"/>
    <w:rsid w:val="00A540F3"/>
    <w:rsid w:val="00A54F01"/>
    <w:rsid w:val="00A55F27"/>
    <w:rsid w:val="00A569A4"/>
    <w:rsid w:val="00A57168"/>
    <w:rsid w:val="00A62B1A"/>
    <w:rsid w:val="00A71BD4"/>
    <w:rsid w:val="00A76243"/>
    <w:rsid w:val="00A762D5"/>
    <w:rsid w:val="00A773F5"/>
    <w:rsid w:val="00A77F58"/>
    <w:rsid w:val="00A805A8"/>
    <w:rsid w:val="00A80B01"/>
    <w:rsid w:val="00A93646"/>
    <w:rsid w:val="00A945E2"/>
    <w:rsid w:val="00A95088"/>
    <w:rsid w:val="00A95E61"/>
    <w:rsid w:val="00A9638F"/>
    <w:rsid w:val="00AA2D50"/>
    <w:rsid w:val="00AA3CA4"/>
    <w:rsid w:val="00AB1474"/>
    <w:rsid w:val="00AB32BE"/>
    <w:rsid w:val="00AB4EFA"/>
    <w:rsid w:val="00AC2BD8"/>
    <w:rsid w:val="00AC4276"/>
    <w:rsid w:val="00AC4AAA"/>
    <w:rsid w:val="00AC5A41"/>
    <w:rsid w:val="00AC7216"/>
    <w:rsid w:val="00AD0C4F"/>
    <w:rsid w:val="00AD5E2B"/>
    <w:rsid w:val="00AD7C10"/>
    <w:rsid w:val="00AE052F"/>
    <w:rsid w:val="00AE26C5"/>
    <w:rsid w:val="00AE3567"/>
    <w:rsid w:val="00AE4706"/>
    <w:rsid w:val="00AE572A"/>
    <w:rsid w:val="00AE6AE8"/>
    <w:rsid w:val="00AE775A"/>
    <w:rsid w:val="00AE7C57"/>
    <w:rsid w:val="00AF1A64"/>
    <w:rsid w:val="00AF3B2C"/>
    <w:rsid w:val="00B03B2F"/>
    <w:rsid w:val="00B03BCC"/>
    <w:rsid w:val="00B07901"/>
    <w:rsid w:val="00B1029B"/>
    <w:rsid w:val="00B107DB"/>
    <w:rsid w:val="00B12666"/>
    <w:rsid w:val="00B139DE"/>
    <w:rsid w:val="00B22638"/>
    <w:rsid w:val="00B243F4"/>
    <w:rsid w:val="00B26DD1"/>
    <w:rsid w:val="00B31627"/>
    <w:rsid w:val="00B32C30"/>
    <w:rsid w:val="00B35602"/>
    <w:rsid w:val="00B37427"/>
    <w:rsid w:val="00B46077"/>
    <w:rsid w:val="00B55FA9"/>
    <w:rsid w:val="00B56B1F"/>
    <w:rsid w:val="00B578C5"/>
    <w:rsid w:val="00B60DCF"/>
    <w:rsid w:val="00B72D05"/>
    <w:rsid w:val="00B76024"/>
    <w:rsid w:val="00B816F5"/>
    <w:rsid w:val="00B83E85"/>
    <w:rsid w:val="00B84559"/>
    <w:rsid w:val="00B86BDA"/>
    <w:rsid w:val="00B87244"/>
    <w:rsid w:val="00B87640"/>
    <w:rsid w:val="00B93518"/>
    <w:rsid w:val="00BA1C72"/>
    <w:rsid w:val="00BA48BD"/>
    <w:rsid w:val="00BB6344"/>
    <w:rsid w:val="00BC0F95"/>
    <w:rsid w:val="00BC2EC5"/>
    <w:rsid w:val="00BD1F36"/>
    <w:rsid w:val="00BD2134"/>
    <w:rsid w:val="00BD285A"/>
    <w:rsid w:val="00BD4AC8"/>
    <w:rsid w:val="00BE28E3"/>
    <w:rsid w:val="00BE2E7D"/>
    <w:rsid w:val="00BE6F58"/>
    <w:rsid w:val="00BF4E61"/>
    <w:rsid w:val="00BF5EEB"/>
    <w:rsid w:val="00C02F16"/>
    <w:rsid w:val="00C062F6"/>
    <w:rsid w:val="00C115D4"/>
    <w:rsid w:val="00C15CD5"/>
    <w:rsid w:val="00C16D62"/>
    <w:rsid w:val="00C24819"/>
    <w:rsid w:val="00C2522F"/>
    <w:rsid w:val="00C30640"/>
    <w:rsid w:val="00C3079E"/>
    <w:rsid w:val="00C42297"/>
    <w:rsid w:val="00C50168"/>
    <w:rsid w:val="00C516B7"/>
    <w:rsid w:val="00C53622"/>
    <w:rsid w:val="00C54982"/>
    <w:rsid w:val="00C66B5A"/>
    <w:rsid w:val="00C86B68"/>
    <w:rsid w:val="00C93EDD"/>
    <w:rsid w:val="00C953EF"/>
    <w:rsid w:val="00C97311"/>
    <w:rsid w:val="00CA7B1E"/>
    <w:rsid w:val="00CB28C9"/>
    <w:rsid w:val="00CC0088"/>
    <w:rsid w:val="00CC39FD"/>
    <w:rsid w:val="00CE1B6E"/>
    <w:rsid w:val="00CE2BEA"/>
    <w:rsid w:val="00CE4DE5"/>
    <w:rsid w:val="00CF356A"/>
    <w:rsid w:val="00D00BD8"/>
    <w:rsid w:val="00D02F5A"/>
    <w:rsid w:val="00D035BD"/>
    <w:rsid w:val="00D04B88"/>
    <w:rsid w:val="00D04BE1"/>
    <w:rsid w:val="00D12160"/>
    <w:rsid w:val="00D15C08"/>
    <w:rsid w:val="00D15E25"/>
    <w:rsid w:val="00D226D6"/>
    <w:rsid w:val="00D25CA2"/>
    <w:rsid w:val="00D26398"/>
    <w:rsid w:val="00D273EF"/>
    <w:rsid w:val="00D2780E"/>
    <w:rsid w:val="00D32251"/>
    <w:rsid w:val="00D32A1B"/>
    <w:rsid w:val="00D3302E"/>
    <w:rsid w:val="00D462B9"/>
    <w:rsid w:val="00D47F43"/>
    <w:rsid w:val="00D50911"/>
    <w:rsid w:val="00D51AB5"/>
    <w:rsid w:val="00D53D01"/>
    <w:rsid w:val="00D56DBA"/>
    <w:rsid w:val="00D62003"/>
    <w:rsid w:val="00D673E0"/>
    <w:rsid w:val="00D70674"/>
    <w:rsid w:val="00D72F23"/>
    <w:rsid w:val="00D743AA"/>
    <w:rsid w:val="00D76E1B"/>
    <w:rsid w:val="00D820F4"/>
    <w:rsid w:val="00D8248D"/>
    <w:rsid w:val="00D82A53"/>
    <w:rsid w:val="00D83034"/>
    <w:rsid w:val="00D85273"/>
    <w:rsid w:val="00D9131C"/>
    <w:rsid w:val="00D93AC6"/>
    <w:rsid w:val="00D93B0C"/>
    <w:rsid w:val="00D96FEA"/>
    <w:rsid w:val="00DA12AB"/>
    <w:rsid w:val="00DA5597"/>
    <w:rsid w:val="00DA6EAD"/>
    <w:rsid w:val="00DC254A"/>
    <w:rsid w:val="00DD34F8"/>
    <w:rsid w:val="00DD646B"/>
    <w:rsid w:val="00DD6C01"/>
    <w:rsid w:val="00DD71A4"/>
    <w:rsid w:val="00DD785D"/>
    <w:rsid w:val="00DE0E7D"/>
    <w:rsid w:val="00DE1BBC"/>
    <w:rsid w:val="00DE31A3"/>
    <w:rsid w:val="00DF25FD"/>
    <w:rsid w:val="00DF5027"/>
    <w:rsid w:val="00DF65B2"/>
    <w:rsid w:val="00E0055C"/>
    <w:rsid w:val="00E00801"/>
    <w:rsid w:val="00E0278A"/>
    <w:rsid w:val="00E03A4D"/>
    <w:rsid w:val="00E051E3"/>
    <w:rsid w:val="00E05567"/>
    <w:rsid w:val="00E07960"/>
    <w:rsid w:val="00E1495E"/>
    <w:rsid w:val="00E14F87"/>
    <w:rsid w:val="00E153F6"/>
    <w:rsid w:val="00E20171"/>
    <w:rsid w:val="00E27FCA"/>
    <w:rsid w:val="00E35457"/>
    <w:rsid w:val="00E4164A"/>
    <w:rsid w:val="00E43842"/>
    <w:rsid w:val="00E4509B"/>
    <w:rsid w:val="00E4633B"/>
    <w:rsid w:val="00E47699"/>
    <w:rsid w:val="00E47AE4"/>
    <w:rsid w:val="00E52E3C"/>
    <w:rsid w:val="00E53CC2"/>
    <w:rsid w:val="00E569C1"/>
    <w:rsid w:val="00E57042"/>
    <w:rsid w:val="00E6267A"/>
    <w:rsid w:val="00E631F7"/>
    <w:rsid w:val="00E77CC4"/>
    <w:rsid w:val="00E91BDE"/>
    <w:rsid w:val="00E943EE"/>
    <w:rsid w:val="00E95BF2"/>
    <w:rsid w:val="00EA5B9D"/>
    <w:rsid w:val="00EB0370"/>
    <w:rsid w:val="00EC162F"/>
    <w:rsid w:val="00EC363B"/>
    <w:rsid w:val="00ED2C69"/>
    <w:rsid w:val="00EE01E9"/>
    <w:rsid w:val="00EE5769"/>
    <w:rsid w:val="00EE6CB7"/>
    <w:rsid w:val="00F001B4"/>
    <w:rsid w:val="00F00FAE"/>
    <w:rsid w:val="00F01A21"/>
    <w:rsid w:val="00F15DDF"/>
    <w:rsid w:val="00F22144"/>
    <w:rsid w:val="00F25A7C"/>
    <w:rsid w:val="00F313F6"/>
    <w:rsid w:val="00F317AB"/>
    <w:rsid w:val="00F3769F"/>
    <w:rsid w:val="00F40059"/>
    <w:rsid w:val="00F40727"/>
    <w:rsid w:val="00F43013"/>
    <w:rsid w:val="00F5746C"/>
    <w:rsid w:val="00F57C13"/>
    <w:rsid w:val="00F7227E"/>
    <w:rsid w:val="00F8225E"/>
    <w:rsid w:val="00F86722"/>
    <w:rsid w:val="00F924D8"/>
    <w:rsid w:val="00FA10BA"/>
    <w:rsid w:val="00FA389C"/>
    <w:rsid w:val="00FA6853"/>
    <w:rsid w:val="00FB1555"/>
    <w:rsid w:val="00FB412A"/>
    <w:rsid w:val="00FB7DA0"/>
    <w:rsid w:val="00FC4377"/>
    <w:rsid w:val="00FC4E76"/>
    <w:rsid w:val="00FC7B21"/>
    <w:rsid w:val="00FD6B97"/>
    <w:rsid w:val="00FE2656"/>
    <w:rsid w:val="00FE2682"/>
    <w:rsid w:val="00FE5A94"/>
    <w:rsid w:val="00FE5BF8"/>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15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07C29-21B2-4224-80CF-3A55459A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Yifei Yuan</cp:lastModifiedBy>
  <cp:revision>6</cp:revision>
  <cp:lastPrinted>2113-01-01T00:00:00Z</cp:lastPrinted>
  <dcterms:created xsi:type="dcterms:W3CDTF">2016-05-13T12:26:00Z</dcterms:created>
  <dcterms:modified xsi:type="dcterms:W3CDTF">2016-05-14T05:38:00Z</dcterms:modified>
</cp:coreProperties>
</file>